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29B86385" w:rsidR="003F4897" w:rsidRPr="00B210C7" w:rsidRDefault="005E0DA7" w:rsidP="0017671E">
            <w:pPr>
              <w:spacing w:line="276" w:lineRule="auto"/>
              <w:jc w:val="both"/>
              <w:rPr>
                <w:rFonts w:ascii="Calibri" w:eastAsia="Calibri" w:hAnsi="Calibri" w:cs="Calibri"/>
              </w:rPr>
            </w:pPr>
            <w:r>
              <w:rPr>
                <w:rFonts w:ascii="Calibri" w:eastAsia="Calibri" w:hAnsi="Calibri" w:cs="Calibri"/>
              </w:rPr>
              <w:t>Section Number</w:t>
            </w:r>
            <w:r w:rsidRPr="00560B52">
              <w:rPr>
                <w:rFonts w:ascii="Calibri" w:eastAsia="Calibri" w:hAnsi="Calibri" w:cs="Calibri"/>
              </w:rPr>
              <w:t xml:space="preserve">: </w:t>
            </w:r>
            <w:r w:rsidR="00106D68" w:rsidRPr="00560B52">
              <w:rPr>
                <w:rFonts w:ascii="Calibri" w:eastAsia="Calibri" w:hAnsi="Calibri" w:cs="Calibri"/>
              </w:rPr>
              <w:t xml:space="preserve">340, </w:t>
            </w:r>
            <w:r w:rsidR="00E52C66" w:rsidRPr="00560B52">
              <w:rPr>
                <w:rFonts w:ascii="Calibri" w:eastAsia="Calibri" w:hAnsi="Calibri" w:cs="Calibri"/>
              </w:rPr>
              <w:t>3</w:t>
            </w:r>
            <w:r w:rsidR="0017671E" w:rsidRPr="00560B52">
              <w:rPr>
                <w:rFonts w:ascii="Calibri" w:eastAsia="Calibri" w:hAnsi="Calibri" w:cs="Calibri"/>
              </w:rPr>
              <w:t>41</w:t>
            </w:r>
            <w:r w:rsidR="003228FD" w:rsidRPr="00560B52">
              <w:rPr>
                <w:rFonts w:ascii="Calibri" w:eastAsia="Calibri" w:hAnsi="Calibri" w:cs="Calibri"/>
              </w:rPr>
              <w:t xml:space="preserve"> </w:t>
            </w:r>
            <w:r w:rsidR="0017671E" w:rsidRPr="00560B52">
              <w:rPr>
                <w:rFonts w:ascii="Calibri" w:eastAsia="Calibri" w:hAnsi="Calibri" w:cs="Calibri"/>
              </w:rPr>
              <w:t>342</w:t>
            </w:r>
            <w:r w:rsidR="002D5539">
              <w:rPr>
                <w:rFonts w:ascii="Calibri" w:eastAsia="Calibri" w:hAnsi="Calibri" w:cs="Calibri"/>
              </w:rPr>
              <w:t>, 700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6EC807DA" w:rsidR="003F4897" w:rsidRDefault="003F4897" w:rsidP="005E0DA7">
            <w:pPr>
              <w:spacing w:line="276" w:lineRule="auto"/>
              <w:jc w:val="both"/>
            </w:pPr>
            <w:r>
              <w:rPr>
                <w:rFonts w:ascii="Calibri" w:eastAsia="Calibri" w:hAnsi="Calibri" w:cs="Calibri"/>
              </w:rPr>
              <w:t xml:space="preserve">Term Code: </w:t>
            </w:r>
            <w:r w:rsidR="001D3E49">
              <w:rPr>
                <w:rFonts w:ascii="Calibri" w:eastAsia="Calibri" w:hAnsi="Calibri" w:cs="Calibri"/>
              </w:rPr>
              <w:t>Spring 2021</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5250FEE5" w:rsidR="003F4897" w:rsidRDefault="003F4897" w:rsidP="003F4897">
      <w:pPr>
        <w:jc w:val="both"/>
        <w:rPr>
          <w:rFonts w:ascii="Calibri" w:hAnsi="Calibri"/>
          <w:b/>
        </w:rPr>
      </w:pPr>
    </w:p>
    <w:p w14:paraId="084F8B69" w14:textId="77777777" w:rsidR="00504EE0" w:rsidRDefault="00504EE0"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2EE84158" w14:textId="77777777" w:rsidR="00DB4B5D" w:rsidRDefault="00DB4B5D" w:rsidP="00DB4B5D">
      <w:pPr>
        <w:jc w:val="both"/>
        <w:rPr>
          <w:rFonts w:ascii="Calibri" w:eastAsia="Calibri" w:hAnsi="Calibri" w:cs="Calibri"/>
        </w:rPr>
      </w:pPr>
    </w:p>
    <w:p w14:paraId="1F1F9C52" w14:textId="4D8AEBEC" w:rsidR="00DB4B5D" w:rsidRDefault="00DB4B5D" w:rsidP="00DB4B5D">
      <w:pPr>
        <w:rPr>
          <w:rFonts w:asciiTheme="minorHAnsi" w:hAnsiTheme="minorHAnsi" w:cs="Arial"/>
          <w:b/>
          <w:szCs w:val="20"/>
        </w:rPr>
      </w:pPr>
      <w:r>
        <w:rPr>
          <w:rFonts w:asciiTheme="minorHAnsi" w:hAnsiTheme="minorHAnsi" w:cs="Arial"/>
          <w:b/>
          <w:szCs w:val="20"/>
        </w:rPr>
        <w:t>OFFICE HOURS</w:t>
      </w:r>
      <w:r w:rsidR="003A7DE6">
        <w:rPr>
          <w:rFonts w:asciiTheme="minorHAnsi" w:hAnsiTheme="minorHAnsi" w:cs="Arial"/>
          <w:b/>
          <w:szCs w:val="20"/>
        </w:rPr>
        <w:t xml:space="preserve"> by Appointment</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DB4B5D" w14:paraId="3BA46CD6" w14:textId="77777777" w:rsidTr="00DB4B5D">
        <w:tc>
          <w:tcPr>
            <w:tcW w:w="1777" w:type="dxa"/>
            <w:tcBorders>
              <w:top w:val="single" w:sz="4" w:space="0" w:color="auto"/>
              <w:left w:val="single" w:sz="4" w:space="0" w:color="auto"/>
              <w:bottom w:val="single" w:sz="4" w:space="0" w:color="auto"/>
              <w:right w:val="single" w:sz="4" w:space="0" w:color="auto"/>
            </w:tcBorders>
            <w:hideMark/>
          </w:tcPr>
          <w:p w14:paraId="1ABCB6FB" w14:textId="77777777" w:rsidR="00DB4B5D" w:rsidRDefault="00DB4B5D">
            <w:pPr>
              <w:jc w:val="center"/>
              <w:rPr>
                <w:rFonts w:asciiTheme="minorHAnsi" w:hAnsiTheme="minorHAnsi" w:cs="Arial"/>
                <w:i/>
                <w:szCs w:val="20"/>
              </w:rPr>
            </w:pPr>
            <w:r>
              <w:rPr>
                <w:rFonts w:asciiTheme="minorHAnsi" w:hAnsiTheme="minorHAnsi" w:cs="Arial"/>
                <w:i/>
                <w:szCs w:val="20"/>
              </w:rPr>
              <w:t>Monday</w:t>
            </w:r>
          </w:p>
        </w:tc>
        <w:tc>
          <w:tcPr>
            <w:tcW w:w="1884" w:type="dxa"/>
            <w:tcBorders>
              <w:top w:val="single" w:sz="4" w:space="0" w:color="auto"/>
              <w:left w:val="single" w:sz="4" w:space="0" w:color="auto"/>
              <w:bottom w:val="single" w:sz="4" w:space="0" w:color="auto"/>
              <w:right w:val="single" w:sz="4" w:space="0" w:color="auto"/>
            </w:tcBorders>
            <w:hideMark/>
          </w:tcPr>
          <w:p w14:paraId="54C46FB5" w14:textId="77777777" w:rsidR="00DB4B5D" w:rsidRDefault="00DB4B5D">
            <w:pPr>
              <w:jc w:val="center"/>
              <w:rPr>
                <w:rFonts w:asciiTheme="minorHAnsi" w:hAnsiTheme="minorHAnsi" w:cs="Arial"/>
                <w:i/>
                <w:szCs w:val="20"/>
              </w:rPr>
            </w:pPr>
            <w:r>
              <w:rPr>
                <w:rFonts w:asciiTheme="minorHAnsi" w:hAnsiTheme="minorHAnsi" w:cs="Arial"/>
                <w:i/>
                <w:szCs w:val="20"/>
              </w:rPr>
              <w:t>Tuesday</w:t>
            </w:r>
          </w:p>
        </w:tc>
        <w:tc>
          <w:tcPr>
            <w:tcW w:w="1902" w:type="dxa"/>
            <w:tcBorders>
              <w:top w:val="single" w:sz="4" w:space="0" w:color="auto"/>
              <w:left w:val="single" w:sz="4" w:space="0" w:color="auto"/>
              <w:bottom w:val="single" w:sz="4" w:space="0" w:color="auto"/>
              <w:right w:val="single" w:sz="4" w:space="0" w:color="auto"/>
            </w:tcBorders>
            <w:hideMark/>
          </w:tcPr>
          <w:p w14:paraId="0EFE5942" w14:textId="77777777" w:rsidR="00DB4B5D" w:rsidRDefault="00DB4B5D">
            <w:pPr>
              <w:jc w:val="center"/>
              <w:rPr>
                <w:rFonts w:asciiTheme="minorHAnsi" w:hAnsiTheme="minorHAnsi" w:cs="Arial"/>
                <w:i/>
                <w:szCs w:val="20"/>
              </w:rPr>
            </w:pPr>
            <w:r>
              <w:rPr>
                <w:rFonts w:asciiTheme="minorHAnsi" w:hAnsiTheme="minorHAnsi" w:cs="Arial"/>
                <w:i/>
                <w:szCs w:val="20"/>
              </w:rPr>
              <w:t>Wednesday</w:t>
            </w:r>
          </w:p>
        </w:tc>
        <w:tc>
          <w:tcPr>
            <w:tcW w:w="1890" w:type="dxa"/>
            <w:tcBorders>
              <w:top w:val="single" w:sz="4" w:space="0" w:color="auto"/>
              <w:left w:val="single" w:sz="4" w:space="0" w:color="auto"/>
              <w:bottom w:val="single" w:sz="4" w:space="0" w:color="auto"/>
              <w:right w:val="single" w:sz="4" w:space="0" w:color="auto"/>
            </w:tcBorders>
            <w:hideMark/>
          </w:tcPr>
          <w:p w14:paraId="4EB2FF09" w14:textId="77777777" w:rsidR="00DB4B5D" w:rsidRDefault="00DB4B5D">
            <w:pPr>
              <w:jc w:val="center"/>
              <w:rPr>
                <w:rFonts w:asciiTheme="minorHAnsi" w:hAnsiTheme="minorHAnsi" w:cs="Arial"/>
                <w:i/>
                <w:szCs w:val="20"/>
              </w:rPr>
            </w:pPr>
            <w:r>
              <w:rPr>
                <w:rFonts w:asciiTheme="minorHAnsi" w:hAnsiTheme="minorHAnsi" w:cs="Arial"/>
                <w:i/>
                <w:szCs w:val="20"/>
              </w:rPr>
              <w:t>Thursday</w:t>
            </w:r>
          </w:p>
        </w:tc>
        <w:tc>
          <w:tcPr>
            <w:tcW w:w="1875" w:type="dxa"/>
            <w:tcBorders>
              <w:top w:val="single" w:sz="4" w:space="0" w:color="auto"/>
              <w:left w:val="single" w:sz="4" w:space="0" w:color="auto"/>
              <w:bottom w:val="single" w:sz="4" w:space="0" w:color="auto"/>
              <w:right w:val="single" w:sz="4" w:space="0" w:color="auto"/>
            </w:tcBorders>
            <w:hideMark/>
          </w:tcPr>
          <w:p w14:paraId="43EECFBD" w14:textId="77777777" w:rsidR="00DB4B5D" w:rsidRDefault="00DB4B5D">
            <w:pPr>
              <w:jc w:val="center"/>
              <w:rPr>
                <w:rFonts w:asciiTheme="minorHAnsi" w:hAnsiTheme="minorHAnsi" w:cs="Arial"/>
                <w:i/>
                <w:szCs w:val="20"/>
              </w:rPr>
            </w:pPr>
            <w:r>
              <w:rPr>
                <w:rFonts w:asciiTheme="minorHAnsi" w:hAnsiTheme="minorHAnsi" w:cs="Arial"/>
                <w:i/>
                <w:szCs w:val="20"/>
              </w:rPr>
              <w:t>Friday</w:t>
            </w:r>
          </w:p>
        </w:tc>
      </w:tr>
      <w:tr w:rsidR="00DB4B5D" w:rsidRPr="00560B52" w14:paraId="1AF5AAE5" w14:textId="77777777" w:rsidTr="00DB4B5D">
        <w:tc>
          <w:tcPr>
            <w:tcW w:w="1777" w:type="dxa"/>
            <w:tcBorders>
              <w:top w:val="single" w:sz="4" w:space="0" w:color="auto"/>
              <w:left w:val="single" w:sz="4" w:space="0" w:color="auto"/>
              <w:bottom w:val="single" w:sz="4" w:space="0" w:color="auto"/>
              <w:right w:val="single" w:sz="4" w:space="0" w:color="auto"/>
            </w:tcBorders>
            <w:hideMark/>
          </w:tcPr>
          <w:p w14:paraId="2DF02C27" w14:textId="77777777" w:rsidR="00DB4B5D" w:rsidRPr="00560B52" w:rsidRDefault="00DB4B5D">
            <w:pPr>
              <w:rPr>
                <w:rFonts w:asciiTheme="minorHAnsi" w:hAnsiTheme="minorHAnsi" w:cs="Arial"/>
                <w:szCs w:val="20"/>
              </w:rPr>
            </w:pPr>
            <w:r w:rsidRPr="00560B52">
              <w:rPr>
                <w:rFonts w:asciiTheme="minorHAnsi" w:hAnsiTheme="minorHAnsi" w:cs="Arial"/>
                <w:szCs w:val="20"/>
              </w:rPr>
              <w:t>Bowie</w:t>
            </w:r>
          </w:p>
        </w:tc>
        <w:tc>
          <w:tcPr>
            <w:tcW w:w="1884" w:type="dxa"/>
            <w:tcBorders>
              <w:top w:val="single" w:sz="4" w:space="0" w:color="auto"/>
              <w:left w:val="single" w:sz="4" w:space="0" w:color="auto"/>
              <w:bottom w:val="single" w:sz="4" w:space="0" w:color="auto"/>
              <w:right w:val="single" w:sz="4" w:space="0" w:color="auto"/>
            </w:tcBorders>
            <w:hideMark/>
          </w:tcPr>
          <w:p w14:paraId="71DAA8E9" w14:textId="77777777" w:rsidR="00DB4B5D" w:rsidRPr="00560B52" w:rsidRDefault="00DB4B5D">
            <w:pPr>
              <w:rPr>
                <w:rFonts w:asciiTheme="minorHAnsi" w:hAnsiTheme="minorHAnsi" w:cs="Arial"/>
                <w:szCs w:val="20"/>
              </w:rPr>
            </w:pPr>
            <w:r w:rsidRPr="00560B52">
              <w:rPr>
                <w:rFonts w:asciiTheme="minorHAnsi" w:hAnsiTheme="minorHAnsi" w:cs="Arial"/>
                <w:szCs w:val="20"/>
              </w:rPr>
              <w:t>Graham</w:t>
            </w:r>
          </w:p>
        </w:tc>
        <w:tc>
          <w:tcPr>
            <w:tcW w:w="1902" w:type="dxa"/>
            <w:tcBorders>
              <w:top w:val="single" w:sz="4" w:space="0" w:color="auto"/>
              <w:left w:val="single" w:sz="4" w:space="0" w:color="auto"/>
              <w:bottom w:val="single" w:sz="4" w:space="0" w:color="auto"/>
              <w:right w:val="single" w:sz="4" w:space="0" w:color="auto"/>
            </w:tcBorders>
            <w:hideMark/>
          </w:tcPr>
          <w:p w14:paraId="6C8EDD31" w14:textId="13768479" w:rsidR="00DB4B5D" w:rsidRPr="00560B52" w:rsidRDefault="009D46F7">
            <w:pPr>
              <w:rPr>
                <w:rFonts w:asciiTheme="minorHAnsi" w:hAnsiTheme="minorHAnsi" w:cs="Arial"/>
                <w:szCs w:val="20"/>
              </w:rPr>
            </w:pPr>
            <w:r w:rsidRPr="00560B52">
              <w:rPr>
                <w:rFonts w:asciiTheme="minorHAnsi" w:hAnsiTheme="minorHAnsi" w:cs="Arial"/>
                <w:szCs w:val="20"/>
              </w:rPr>
              <w:t>Online</w:t>
            </w:r>
          </w:p>
        </w:tc>
        <w:tc>
          <w:tcPr>
            <w:tcW w:w="1890" w:type="dxa"/>
            <w:tcBorders>
              <w:top w:val="single" w:sz="4" w:space="0" w:color="auto"/>
              <w:left w:val="single" w:sz="4" w:space="0" w:color="auto"/>
              <w:bottom w:val="single" w:sz="4" w:space="0" w:color="auto"/>
              <w:right w:val="single" w:sz="4" w:space="0" w:color="auto"/>
            </w:tcBorders>
            <w:hideMark/>
          </w:tcPr>
          <w:p w14:paraId="3FC88607" w14:textId="77777777" w:rsidR="00DB4B5D" w:rsidRPr="00560B52" w:rsidRDefault="00DB4B5D">
            <w:pPr>
              <w:rPr>
                <w:rFonts w:asciiTheme="minorHAnsi" w:hAnsiTheme="minorHAnsi" w:cs="Arial"/>
                <w:szCs w:val="20"/>
              </w:rPr>
            </w:pPr>
            <w:r w:rsidRPr="00560B52">
              <w:rPr>
                <w:rFonts w:asciiTheme="minorHAnsi" w:hAnsiTheme="minorHAnsi" w:cs="Arial"/>
                <w:szCs w:val="20"/>
              </w:rPr>
              <w:t>Online</w:t>
            </w:r>
          </w:p>
        </w:tc>
        <w:tc>
          <w:tcPr>
            <w:tcW w:w="1875" w:type="dxa"/>
            <w:tcBorders>
              <w:top w:val="single" w:sz="4" w:space="0" w:color="auto"/>
              <w:left w:val="single" w:sz="4" w:space="0" w:color="auto"/>
              <w:bottom w:val="single" w:sz="4" w:space="0" w:color="auto"/>
              <w:right w:val="single" w:sz="4" w:space="0" w:color="auto"/>
            </w:tcBorders>
          </w:tcPr>
          <w:p w14:paraId="0ACAA3AC" w14:textId="77777777" w:rsidR="00DB4B5D" w:rsidRPr="00560B52" w:rsidRDefault="00DB4B5D">
            <w:pPr>
              <w:rPr>
                <w:rFonts w:asciiTheme="minorHAnsi" w:hAnsiTheme="minorHAnsi" w:cs="Arial"/>
                <w:b/>
                <w:szCs w:val="20"/>
              </w:rPr>
            </w:pPr>
          </w:p>
        </w:tc>
      </w:tr>
      <w:tr w:rsidR="00DB4B5D" w:rsidRPr="00560B52" w14:paraId="73D663C1" w14:textId="77777777" w:rsidTr="00DB4B5D">
        <w:tc>
          <w:tcPr>
            <w:tcW w:w="1777" w:type="dxa"/>
            <w:tcBorders>
              <w:top w:val="single" w:sz="4" w:space="0" w:color="auto"/>
              <w:left w:val="single" w:sz="4" w:space="0" w:color="auto"/>
              <w:bottom w:val="single" w:sz="4" w:space="0" w:color="auto"/>
              <w:right w:val="single" w:sz="4" w:space="0" w:color="auto"/>
            </w:tcBorders>
          </w:tcPr>
          <w:p w14:paraId="5DA9C983" w14:textId="77777777" w:rsidR="00DB4B5D" w:rsidRPr="00560B52" w:rsidRDefault="00DB4B5D">
            <w:pPr>
              <w:rPr>
                <w:rFonts w:asciiTheme="minorHAnsi" w:hAnsiTheme="minorHAnsi" w:cs="Arial"/>
                <w:szCs w:val="20"/>
              </w:rPr>
            </w:pPr>
          </w:p>
        </w:tc>
        <w:tc>
          <w:tcPr>
            <w:tcW w:w="1884" w:type="dxa"/>
            <w:tcBorders>
              <w:top w:val="single" w:sz="4" w:space="0" w:color="auto"/>
              <w:left w:val="single" w:sz="4" w:space="0" w:color="auto"/>
              <w:bottom w:val="single" w:sz="4" w:space="0" w:color="auto"/>
              <w:right w:val="single" w:sz="4" w:space="0" w:color="auto"/>
            </w:tcBorders>
            <w:hideMark/>
          </w:tcPr>
          <w:p w14:paraId="55A49AE1" w14:textId="698305E1" w:rsidR="00DB4B5D" w:rsidRPr="00560B52" w:rsidRDefault="00560B52">
            <w:pPr>
              <w:rPr>
                <w:rFonts w:asciiTheme="minorHAnsi" w:hAnsiTheme="minorHAnsi" w:cs="Arial"/>
                <w:szCs w:val="20"/>
              </w:rPr>
            </w:pPr>
            <w:r w:rsidRPr="00560B52">
              <w:rPr>
                <w:rFonts w:asciiTheme="minorHAnsi" w:hAnsiTheme="minorHAnsi" w:cs="Arial"/>
                <w:szCs w:val="20"/>
              </w:rPr>
              <w:t>9</w:t>
            </w:r>
            <w:r w:rsidR="009D46F7" w:rsidRPr="00560B52">
              <w:rPr>
                <w:rFonts w:asciiTheme="minorHAnsi" w:hAnsiTheme="minorHAnsi" w:cs="Arial"/>
                <w:szCs w:val="20"/>
              </w:rPr>
              <w:t>:00-</w:t>
            </w:r>
            <w:r w:rsidRPr="00560B52">
              <w:rPr>
                <w:rFonts w:asciiTheme="minorHAnsi" w:hAnsiTheme="minorHAnsi" w:cs="Arial"/>
                <w:szCs w:val="20"/>
              </w:rPr>
              <w:t>10</w:t>
            </w:r>
            <w:r w:rsidR="009D46F7" w:rsidRPr="00560B52">
              <w:rPr>
                <w:rFonts w:asciiTheme="minorHAnsi" w:hAnsiTheme="minorHAnsi" w:cs="Arial"/>
                <w:szCs w:val="20"/>
              </w:rPr>
              <w:t>:15</w:t>
            </w:r>
          </w:p>
        </w:tc>
        <w:tc>
          <w:tcPr>
            <w:tcW w:w="1902" w:type="dxa"/>
            <w:tcBorders>
              <w:top w:val="single" w:sz="4" w:space="0" w:color="auto"/>
              <w:left w:val="single" w:sz="4" w:space="0" w:color="auto"/>
              <w:bottom w:val="single" w:sz="4" w:space="0" w:color="auto"/>
              <w:right w:val="single" w:sz="4" w:space="0" w:color="auto"/>
            </w:tcBorders>
          </w:tcPr>
          <w:p w14:paraId="26D67FFC" w14:textId="77777777" w:rsidR="00DB4B5D" w:rsidRPr="00560B52" w:rsidRDefault="00DB4B5D">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0DF89CA6" w14:textId="77777777" w:rsidR="00DB4B5D" w:rsidRPr="00560B52" w:rsidRDefault="00DB4B5D">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159E4554" w14:textId="77777777" w:rsidR="00DB4B5D" w:rsidRPr="00560B52" w:rsidRDefault="00DB4B5D">
            <w:pPr>
              <w:rPr>
                <w:rFonts w:asciiTheme="minorHAnsi" w:hAnsiTheme="minorHAnsi" w:cs="Arial"/>
                <w:b/>
                <w:szCs w:val="20"/>
              </w:rPr>
            </w:pPr>
          </w:p>
        </w:tc>
      </w:tr>
      <w:tr w:rsidR="00DB4B5D" w:rsidRPr="00560B52" w14:paraId="5933F0EC" w14:textId="77777777" w:rsidTr="00DB4B5D">
        <w:tc>
          <w:tcPr>
            <w:tcW w:w="1777" w:type="dxa"/>
            <w:tcBorders>
              <w:top w:val="single" w:sz="4" w:space="0" w:color="auto"/>
              <w:left w:val="single" w:sz="4" w:space="0" w:color="auto"/>
              <w:bottom w:val="single" w:sz="4" w:space="0" w:color="auto"/>
              <w:right w:val="single" w:sz="4" w:space="0" w:color="auto"/>
            </w:tcBorders>
          </w:tcPr>
          <w:p w14:paraId="02BDE4D1" w14:textId="77777777" w:rsidR="00DB4B5D" w:rsidRPr="00560B52" w:rsidRDefault="00DB4B5D">
            <w:pPr>
              <w:rPr>
                <w:rFonts w:asciiTheme="minorHAnsi" w:hAnsiTheme="minorHAnsi" w:cs="Arial"/>
                <w:szCs w:val="20"/>
              </w:rPr>
            </w:pPr>
          </w:p>
        </w:tc>
        <w:tc>
          <w:tcPr>
            <w:tcW w:w="1884" w:type="dxa"/>
            <w:tcBorders>
              <w:top w:val="single" w:sz="4" w:space="0" w:color="auto"/>
              <w:left w:val="single" w:sz="4" w:space="0" w:color="auto"/>
              <w:bottom w:val="single" w:sz="4" w:space="0" w:color="auto"/>
              <w:right w:val="single" w:sz="4" w:space="0" w:color="auto"/>
            </w:tcBorders>
            <w:hideMark/>
          </w:tcPr>
          <w:p w14:paraId="49FFE996" w14:textId="4A22C985" w:rsidR="00DB4B5D" w:rsidRPr="00560B52" w:rsidRDefault="00DB4B5D">
            <w:pPr>
              <w:rPr>
                <w:rFonts w:asciiTheme="minorHAnsi" w:hAnsiTheme="minorHAnsi" w:cs="Arial"/>
                <w:szCs w:val="20"/>
              </w:rPr>
            </w:pPr>
          </w:p>
        </w:tc>
        <w:tc>
          <w:tcPr>
            <w:tcW w:w="1902" w:type="dxa"/>
            <w:tcBorders>
              <w:top w:val="single" w:sz="4" w:space="0" w:color="auto"/>
              <w:left w:val="single" w:sz="4" w:space="0" w:color="auto"/>
              <w:bottom w:val="single" w:sz="4" w:space="0" w:color="auto"/>
              <w:right w:val="single" w:sz="4" w:space="0" w:color="auto"/>
            </w:tcBorders>
            <w:hideMark/>
          </w:tcPr>
          <w:p w14:paraId="79B0FA28" w14:textId="563BEC0F" w:rsidR="00DB4B5D" w:rsidRPr="00560B52" w:rsidRDefault="00DB4B5D">
            <w:pPr>
              <w:rPr>
                <w:rFonts w:asciiTheme="minorHAnsi" w:hAnsiTheme="minorHAnsi" w:cs="Arial"/>
                <w:szCs w:val="20"/>
              </w:rPr>
            </w:pPr>
            <w:r w:rsidRPr="00560B52">
              <w:rPr>
                <w:rFonts w:asciiTheme="minorHAnsi" w:hAnsiTheme="minorHAnsi" w:cs="Arial"/>
                <w:szCs w:val="20"/>
              </w:rPr>
              <w:t>10:</w:t>
            </w:r>
            <w:r w:rsidR="009D46F7" w:rsidRPr="00560B52">
              <w:rPr>
                <w:rFonts w:asciiTheme="minorHAnsi" w:hAnsiTheme="minorHAnsi" w:cs="Arial"/>
                <w:szCs w:val="20"/>
              </w:rPr>
              <w:t>00</w:t>
            </w:r>
            <w:r w:rsidRPr="00560B52">
              <w:rPr>
                <w:rFonts w:asciiTheme="minorHAnsi" w:hAnsiTheme="minorHAnsi" w:cs="Arial"/>
                <w:szCs w:val="20"/>
              </w:rPr>
              <w:t>-</w:t>
            </w:r>
            <w:r w:rsidR="009D46F7" w:rsidRPr="00560B52">
              <w:rPr>
                <w:rFonts w:asciiTheme="minorHAnsi" w:hAnsiTheme="minorHAnsi" w:cs="Arial"/>
                <w:szCs w:val="20"/>
              </w:rPr>
              <w:t>1:00</w:t>
            </w:r>
          </w:p>
        </w:tc>
        <w:tc>
          <w:tcPr>
            <w:tcW w:w="1890" w:type="dxa"/>
            <w:tcBorders>
              <w:top w:val="single" w:sz="4" w:space="0" w:color="auto"/>
              <w:left w:val="single" w:sz="4" w:space="0" w:color="auto"/>
              <w:bottom w:val="single" w:sz="4" w:space="0" w:color="auto"/>
              <w:right w:val="single" w:sz="4" w:space="0" w:color="auto"/>
            </w:tcBorders>
            <w:hideMark/>
          </w:tcPr>
          <w:p w14:paraId="1579B922" w14:textId="03586D89" w:rsidR="00DB4B5D" w:rsidRPr="00560B52" w:rsidRDefault="00DB4B5D">
            <w:pPr>
              <w:rPr>
                <w:rFonts w:asciiTheme="minorHAnsi" w:hAnsiTheme="minorHAnsi" w:cs="Arial"/>
                <w:szCs w:val="20"/>
              </w:rPr>
            </w:pPr>
            <w:r w:rsidRPr="00560B52">
              <w:rPr>
                <w:rFonts w:asciiTheme="minorHAnsi" w:hAnsiTheme="minorHAnsi" w:cs="Arial"/>
                <w:szCs w:val="20"/>
              </w:rPr>
              <w:t>10</w:t>
            </w:r>
            <w:r w:rsidR="009D46F7" w:rsidRPr="00560B52">
              <w:rPr>
                <w:rFonts w:asciiTheme="minorHAnsi" w:hAnsiTheme="minorHAnsi" w:cs="Arial"/>
                <w:szCs w:val="20"/>
              </w:rPr>
              <w:t>:00</w:t>
            </w:r>
            <w:r w:rsidRPr="00560B52">
              <w:rPr>
                <w:rFonts w:asciiTheme="minorHAnsi" w:hAnsiTheme="minorHAnsi" w:cs="Arial"/>
                <w:szCs w:val="20"/>
              </w:rPr>
              <w:t>-1</w:t>
            </w:r>
            <w:r w:rsidR="009D46F7" w:rsidRPr="00560B52">
              <w:rPr>
                <w:rFonts w:asciiTheme="minorHAnsi" w:hAnsiTheme="minorHAnsi" w:cs="Arial"/>
                <w:szCs w:val="20"/>
              </w:rPr>
              <w:t>:00</w:t>
            </w:r>
          </w:p>
        </w:tc>
        <w:tc>
          <w:tcPr>
            <w:tcW w:w="1875" w:type="dxa"/>
            <w:tcBorders>
              <w:top w:val="single" w:sz="4" w:space="0" w:color="auto"/>
              <w:left w:val="single" w:sz="4" w:space="0" w:color="auto"/>
              <w:bottom w:val="single" w:sz="4" w:space="0" w:color="auto"/>
              <w:right w:val="single" w:sz="4" w:space="0" w:color="auto"/>
            </w:tcBorders>
          </w:tcPr>
          <w:p w14:paraId="79C016B4" w14:textId="77777777" w:rsidR="00DB4B5D" w:rsidRPr="00560B52" w:rsidRDefault="00DB4B5D">
            <w:pPr>
              <w:rPr>
                <w:rFonts w:asciiTheme="minorHAnsi" w:hAnsiTheme="minorHAnsi" w:cs="Arial"/>
                <w:b/>
                <w:szCs w:val="20"/>
              </w:rPr>
            </w:pPr>
          </w:p>
        </w:tc>
      </w:tr>
      <w:tr w:rsidR="00DB4B5D" w:rsidRPr="00560B52" w14:paraId="239F6E28" w14:textId="77777777" w:rsidTr="00DB4B5D">
        <w:tc>
          <w:tcPr>
            <w:tcW w:w="1777" w:type="dxa"/>
            <w:tcBorders>
              <w:top w:val="single" w:sz="4" w:space="0" w:color="auto"/>
              <w:left w:val="single" w:sz="4" w:space="0" w:color="auto"/>
              <w:bottom w:val="single" w:sz="4" w:space="0" w:color="auto"/>
              <w:right w:val="single" w:sz="4" w:space="0" w:color="auto"/>
            </w:tcBorders>
            <w:hideMark/>
          </w:tcPr>
          <w:p w14:paraId="38AE7F8D" w14:textId="3362E103" w:rsidR="00B2502B" w:rsidRPr="00560B52" w:rsidRDefault="00DB4B5D">
            <w:pPr>
              <w:rPr>
                <w:rFonts w:asciiTheme="minorHAnsi" w:hAnsiTheme="minorHAnsi" w:cs="Arial"/>
                <w:szCs w:val="20"/>
              </w:rPr>
            </w:pPr>
            <w:r w:rsidRPr="00560B52">
              <w:rPr>
                <w:rFonts w:asciiTheme="minorHAnsi" w:hAnsiTheme="minorHAnsi" w:cs="Arial"/>
                <w:szCs w:val="20"/>
              </w:rPr>
              <w:t>12:30-3</w:t>
            </w:r>
            <w:r w:rsidR="00B2502B" w:rsidRPr="00560B52">
              <w:rPr>
                <w:rFonts w:asciiTheme="minorHAnsi" w:hAnsiTheme="minorHAnsi" w:cs="Arial"/>
                <w:szCs w:val="20"/>
              </w:rPr>
              <w:t>:30</w:t>
            </w:r>
          </w:p>
        </w:tc>
        <w:tc>
          <w:tcPr>
            <w:tcW w:w="1884" w:type="dxa"/>
            <w:tcBorders>
              <w:top w:val="single" w:sz="4" w:space="0" w:color="auto"/>
              <w:left w:val="single" w:sz="4" w:space="0" w:color="auto"/>
              <w:bottom w:val="single" w:sz="4" w:space="0" w:color="auto"/>
              <w:right w:val="single" w:sz="4" w:space="0" w:color="auto"/>
            </w:tcBorders>
            <w:hideMark/>
          </w:tcPr>
          <w:p w14:paraId="19601AB1" w14:textId="1595FFDD" w:rsidR="00DB4B5D" w:rsidRPr="00560B52" w:rsidRDefault="009D46F7">
            <w:pPr>
              <w:rPr>
                <w:rFonts w:asciiTheme="minorHAnsi" w:hAnsiTheme="minorHAnsi" w:cs="Arial"/>
                <w:szCs w:val="20"/>
              </w:rPr>
            </w:pPr>
            <w:r w:rsidRPr="00560B52">
              <w:rPr>
                <w:rFonts w:asciiTheme="minorHAnsi" w:hAnsiTheme="minorHAnsi" w:cs="Arial"/>
                <w:szCs w:val="20"/>
              </w:rPr>
              <w:t>1</w:t>
            </w:r>
            <w:r w:rsidR="00560B52" w:rsidRPr="00560B52">
              <w:rPr>
                <w:rFonts w:asciiTheme="minorHAnsi" w:hAnsiTheme="minorHAnsi" w:cs="Arial"/>
                <w:szCs w:val="20"/>
              </w:rPr>
              <w:t>0</w:t>
            </w:r>
            <w:r w:rsidRPr="00560B52">
              <w:rPr>
                <w:rFonts w:asciiTheme="minorHAnsi" w:hAnsiTheme="minorHAnsi" w:cs="Arial"/>
                <w:szCs w:val="20"/>
              </w:rPr>
              <w:t>:30-1</w:t>
            </w:r>
            <w:r w:rsidR="00560B52" w:rsidRPr="00560B52">
              <w:rPr>
                <w:rFonts w:asciiTheme="minorHAnsi" w:hAnsiTheme="minorHAnsi" w:cs="Arial"/>
                <w:szCs w:val="20"/>
              </w:rPr>
              <w:t>1</w:t>
            </w:r>
            <w:r w:rsidRPr="00560B52">
              <w:rPr>
                <w:rFonts w:asciiTheme="minorHAnsi" w:hAnsiTheme="minorHAnsi" w:cs="Arial"/>
                <w:szCs w:val="20"/>
              </w:rPr>
              <w:t>:</w:t>
            </w:r>
            <w:r w:rsidR="00560B52" w:rsidRPr="00560B52">
              <w:rPr>
                <w:rFonts w:asciiTheme="minorHAnsi" w:hAnsiTheme="minorHAnsi" w:cs="Arial"/>
                <w:szCs w:val="20"/>
              </w:rPr>
              <w:t>0</w:t>
            </w:r>
            <w:r w:rsidRPr="00560B52">
              <w:rPr>
                <w:rFonts w:asciiTheme="minorHAnsi" w:hAnsiTheme="minorHAnsi" w:cs="Arial"/>
                <w:szCs w:val="20"/>
              </w:rPr>
              <w:t>0</w:t>
            </w:r>
          </w:p>
        </w:tc>
        <w:tc>
          <w:tcPr>
            <w:tcW w:w="1902" w:type="dxa"/>
            <w:tcBorders>
              <w:top w:val="single" w:sz="4" w:space="0" w:color="auto"/>
              <w:left w:val="single" w:sz="4" w:space="0" w:color="auto"/>
              <w:bottom w:val="single" w:sz="4" w:space="0" w:color="auto"/>
              <w:right w:val="single" w:sz="4" w:space="0" w:color="auto"/>
            </w:tcBorders>
          </w:tcPr>
          <w:p w14:paraId="16ECC34F" w14:textId="77777777" w:rsidR="00DB4B5D" w:rsidRPr="00560B52" w:rsidRDefault="00DB4B5D">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140D5A5C" w14:textId="77777777" w:rsidR="00DB4B5D" w:rsidRPr="00560B52" w:rsidRDefault="00DB4B5D">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5F5038C9" w14:textId="77777777" w:rsidR="00DB4B5D" w:rsidRPr="00560B52" w:rsidRDefault="00DB4B5D">
            <w:pPr>
              <w:rPr>
                <w:rFonts w:asciiTheme="minorHAnsi" w:hAnsiTheme="minorHAnsi" w:cs="Arial"/>
                <w:b/>
                <w:szCs w:val="20"/>
              </w:rPr>
            </w:pPr>
          </w:p>
        </w:tc>
      </w:tr>
      <w:tr w:rsidR="00DB4B5D" w14:paraId="555B73E2" w14:textId="77777777" w:rsidTr="00DB4B5D">
        <w:tc>
          <w:tcPr>
            <w:tcW w:w="1777" w:type="dxa"/>
            <w:tcBorders>
              <w:top w:val="single" w:sz="4" w:space="0" w:color="auto"/>
              <w:left w:val="single" w:sz="4" w:space="0" w:color="auto"/>
              <w:bottom w:val="single" w:sz="4" w:space="0" w:color="auto"/>
              <w:right w:val="single" w:sz="4" w:space="0" w:color="auto"/>
            </w:tcBorders>
            <w:hideMark/>
          </w:tcPr>
          <w:p w14:paraId="3651C707" w14:textId="08A094F4" w:rsidR="00DB4B5D" w:rsidRPr="00560B52" w:rsidRDefault="00DB4B5D">
            <w:pPr>
              <w:rPr>
                <w:rFonts w:asciiTheme="minorHAnsi" w:hAnsiTheme="minorHAnsi" w:cs="Arial"/>
                <w:szCs w:val="20"/>
              </w:rPr>
            </w:pPr>
          </w:p>
        </w:tc>
        <w:tc>
          <w:tcPr>
            <w:tcW w:w="1884" w:type="dxa"/>
            <w:tcBorders>
              <w:top w:val="single" w:sz="4" w:space="0" w:color="auto"/>
              <w:left w:val="single" w:sz="4" w:space="0" w:color="auto"/>
              <w:bottom w:val="single" w:sz="4" w:space="0" w:color="auto"/>
              <w:right w:val="single" w:sz="4" w:space="0" w:color="auto"/>
            </w:tcBorders>
            <w:hideMark/>
          </w:tcPr>
          <w:p w14:paraId="7A4D30DB" w14:textId="40F73478" w:rsidR="00DB4B5D" w:rsidRPr="00560B52" w:rsidRDefault="009D46F7">
            <w:pPr>
              <w:rPr>
                <w:rFonts w:asciiTheme="minorHAnsi" w:hAnsiTheme="minorHAnsi" w:cs="Arial"/>
                <w:szCs w:val="20"/>
              </w:rPr>
            </w:pPr>
            <w:r w:rsidRPr="00560B52">
              <w:rPr>
                <w:rFonts w:asciiTheme="minorHAnsi" w:hAnsiTheme="minorHAnsi" w:cs="Arial"/>
                <w:szCs w:val="20"/>
              </w:rPr>
              <w:t>1:</w:t>
            </w:r>
            <w:r w:rsidR="00560B52" w:rsidRPr="00560B52">
              <w:rPr>
                <w:rFonts w:asciiTheme="minorHAnsi" w:hAnsiTheme="minorHAnsi" w:cs="Arial"/>
                <w:szCs w:val="20"/>
              </w:rPr>
              <w:t>0</w:t>
            </w:r>
            <w:r w:rsidRPr="00560B52">
              <w:rPr>
                <w:rFonts w:asciiTheme="minorHAnsi" w:hAnsiTheme="minorHAnsi" w:cs="Arial"/>
                <w:szCs w:val="20"/>
              </w:rPr>
              <w:t>0-</w:t>
            </w:r>
            <w:r w:rsidR="00560B52" w:rsidRPr="00560B52">
              <w:rPr>
                <w:rFonts w:asciiTheme="minorHAnsi" w:hAnsiTheme="minorHAnsi" w:cs="Arial"/>
                <w:szCs w:val="20"/>
              </w:rPr>
              <w:t>2</w:t>
            </w:r>
            <w:r w:rsidRPr="00560B52">
              <w:rPr>
                <w:rFonts w:asciiTheme="minorHAnsi" w:hAnsiTheme="minorHAnsi" w:cs="Arial"/>
                <w:szCs w:val="20"/>
              </w:rPr>
              <w:t>:</w:t>
            </w:r>
            <w:r w:rsidR="00560B52" w:rsidRPr="00560B52">
              <w:rPr>
                <w:rFonts w:asciiTheme="minorHAnsi" w:hAnsiTheme="minorHAnsi" w:cs="Arial"/>
                <w:szCs w:val="20"/>
              </w:rPr>
              <w:t>15</w:t>
            </w:r>
            <w:r w:rsidR="00DB4B5D" w:rsidRPr="00560B52">
              <w:rPr>
                <w:rFonts w:asciiTheme="minorHAnsi" w:hAnsiTheme="minorHAnsi" w:cs="Arial"/>
                <w:szCs w:val="20"/>
              </w:rPr>
              <w:t xml:space="preserve"> (Drive)</w:t>
            </w:r>
          </w:p>
        </w:tc>
        <w:tc>
          <w:tcPr>
            <w:tcW w:w="1902" w:type="dxa"/>
            <w:tcBorders>
              <w:top w:val="single" w:sz="4" w:space="0" w:color="auto"/>
              <w:left w:val="single" w:sz="4" w:space="0" w:color="auto"/>
              <w:bottom w:val="single" w:sz="4" w:space="0" w:color="auto"/>
              <w:right w:val="single" w:sz="4" w:space="0" w:color="auto"/>
            </w:tcBorders>
          </w:tcPr>
          <w:p w14:paraId="7E582F2D" w14:textId="77777777" w:rsidR="00DB4B5D" w:rsidRPr="00560B52" w:rsidRDefault="00DB4B5D">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1816C7AA" w14:textId="77777777" w:rsidR="00DB4B5D" w:rsidRPr="00560B52" w:rsidRDefault="00DB4B5D">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3CF6710A" w14:textId="77777777" w:rsidR="00DB4B5D" w:rsidRDefault="00DB4B5D">
            <w:pPr>
              <w:rPr>
                <w:rFonts w:asciiTheme="minorHAnsi" w:hAnsiTheme="minorHAnsi" w:cs="Arial"/>
                <w:b/>
                <w:szCs w:val="20"/>
              </w:rPr>
            </w:pPr>
          </w:p>
        </w:tc>
      </w:tr>
    </w:tbl>
    <w:p w14:paraId="30798A7B" w14:textId="77777777" w:rsidR="00DB4B5D" w:rsidRDefault="00DB4B5D" w:rsidP="00DB4B5D">
      <w:pPr>
        <w:jc w:val="both"/>
        <w:rPr>
          <w:rFonts w:ascii="Calibri" w:eastAsia="Calibri" w:hAnsi="Calibri" w:cs="Calibri"/>
        </w:rPr>
      </w:pPr>
    </w:p>
    <w:p w14:paraId="057F97E7" w14:textId="6EA3E40E" w:rsidR="003F4897" w:rsidRDefault="003F4897" w:rsidP="003F4897">
      <w:pPr>
        <w:jc w:val="both"/>
        <w:rPr>
          <w:rFonts w:ascii="Calibri" w:eastAsia="Calibri" w:hAnsi="Calibri" w:cs="Calibri"/>
        </w:rPr>
      </w:pPr>
    </w:p>
    <w:p w14:paraId="2070CDAC" w14:textId="77777777" w:rsidR="00504EE0" w:rsidRDefault="00504EE0"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433ED4" w14:textId="228EF835"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77777777"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or Recommended Course Materials:</w:t>
      </w:r>
    </w:p>
    <w:p w14:paraId="1FF29CE9" w14:textId="605B359F"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00B643CE">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31738ACA" w:rsidR="003F4897" w:rsidRPr="006D2A81" w:rsidRDefault="00C51D26" w:rsidP="004F461B">
            <w:pPr>
              <w:jc w:val="center"/>
              <w:rPr>
                <w:rFonts w:ascii="Calibri" w:hAnsi="Calibri"/>
              </w:rPr>
            </w:pPr>
            <w:r>
              <w:rPr>
                <w:rFonts w:ascii="Calibri" w:hAnsi="Calibri"/>
              </w:rPr>
              <w:t>2</w:t>
            </w:r>
            <w:r w:rsidR="00682C8D">
              <w:rPr>
                <w:rFonts w:ascii="Calibri" w:hAnsi="Calibri"/>
              </w:rPr>
              <w:t>3</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6F73B42B" w:rsidR="00C51D26" w:rsidRPr="006D2A81" w:rsidRDefault="00682C8D" w:rsidP="004F461B">
            <w:pPr>
              <w:jc w:val="center"/>
              <w:rPr>
                <w:rFonts w:ascii="Calibri" w:hAnsi="Calibri"/>
              </w:rPr>
            </w:pPr>
            <w:r>
              <w:rPr>
                <w:rFonts w:ascii="Calibri" w:hAnsi="Calibri"/>
              </w:rPr>
              <w:t>13</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45904075" w:rsidR="00C51D26" w:rsidRPr="006D2A81" w:rsidRDefault="00682C8D" w:rsidP="004F461B">
            <w:pPr>
              <w:jc w:val="center"/>
              <w:rPr>
                <w:rFonts w:ascii="Calibri" w:hAnsi="Calibri"/>
              </w:rPr>
            </w:pPr>
            <w:r>
              <w:rPr>
                <w:rFonts w:ascii="Calibri" w:hAnsi="Calibri"/>
              </w:rPr>
              <w:t>13</w:t>
            </w:r>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p>
    <w:p w14:paraId="3A07D5D7"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4D0900" w14:paraId="09ACE07B"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3D828488" w14:textId="78232900"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01/</w:t>
            </w:r>
            <w:r w:rsidR="001D3E49">
              <w:rPr>
                <w:rFonts w:ascii="Arial" w:hAnsi="Arial" w:cs="Arial"/>
                <w:sz w:val="20"/>
                <w:szCs w:val="20"/>
              </w:rPr>
              <w:t>19</w:t>
            </w:r>
            <w:r>
              <w:rPr>
                <w:rFonts w:ascii="Arial" w:hAnsi="Arial" w:cs="Arial"/>
                <w:sz w:val="20"/>
                <w:szCs w:val="20"/>
              </w:rPr>
              <w:t>-01/</w:t>
            </w:r>
            <w:r w:rsidR="001D3E49">
              <w:rPr>
                <w:rFonts w:ascii="Arial" w:hAnsi="Arial" w:cs="Arial"/>
                <w:sz w:val="20"/>
                <w:szCs w:val="20"/>
              </w:rPr>
              <w:t>22</w:t>
            </w:r>
          </w:p>
        </w:tc>
        <w:tc>
          <w:tcPr>
            <w:tcW w:w="4839" w:type="dxa"/>
            <w:tcBorders>
              <w:top w:val="single" w:sz="4" w:space="0" w:color="auto"/>
              <w:left w:val="single" w:sz="4" w:space="0" w:color="auto"/>
              <w:bottom w:val="single" w:sz="4" w:space="0" w:color="auto"/>
              <w:right w:val="single" w:sz="4" w:space="0" w:color="auto"/>
            </w:tcBorders>
            <w:hideMark/>
          </w:tcPr>
          <w:p w14:paraId="53233B75"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4D0900" w14:paraId="4FD95B47"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482C9484" w14:textId="1335BF6B"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01/2</w:t>
            </w:r>
            <w:r w:rsidR="001D3E49">
              <w:rPr>
                <w:rFonts w:ascii="Arial" w:hAnsi="Arial" w:cs="Arial"/>
                <w:sz w:val="20"/>
                <w:szCs w:val="20"/>
              </w:rPr>
              <w:t>3</w:t>
            </w:r>
            <w:r>
              <w:rPr>
                <w:rFonts w:ascii="Arial" w:hAnsi="Arial" w:cs="Arial"/>
                <w:sz w:val="20"/>
                <w:szCs w:val="20"/>
              </w:rPr>
              <w:t>-0</w:t>
            </w:r>
            <w:r w:rsidR="001D3E49">
              <w:rPr>
                <w:rFonts w:ascii="Arial" w:hAnsi="Arial" w:cs="Arial"/>
                <w:sz w:val="20"/>
                <w:szCs w:val="20"/>
              </w:rPr>
              <w:t>1</w:t>
            </w:r>
            <w:r>
              <w:rPr>
                <w:rFonts w:ascii="Arial" w:hAnsi="Arial" w:cs="Arial"/>
                <w:sz w:val="20"/>
                <w:szCs w:val="20"/>
              </w:rPr>
              <w:t>/</w:t>
            </w:r>
            <w:r w:rsidR="001D3E49">
              <w:rPr>
                <w:rFonts w:ascii="Arial" w:hAnsi="Arial" w:cs="Arial"/>
                <w:sz w:val="20"/>
                <w:szCs w:val="20"/>
              </w:rPr>
              <w:t>29</w:t>
            </w:r>
          </w:p>
        </w:tc>
        <w:tc>
          <w:tcPr>
            <w:tcW w:w="4839" w:type="dxa"/>
            <w:tcBorders>
              <w:top w:val="single" w:sz="4" w:space="0" w:color="auto"/>
              <w:left w:val="single" w:sz="4" w:space="0" w:color="auto"/>
              <w:bottom w:val="single" w:sz="4" w:space="0" w:color="auto"/>
              <w:right w:val="single" w:sz="4" w:space="0" w:color="auto"/>
            </w:tcBorders>
            <w:hideMark/>
          </w:tcPr>
          <w:p w14:paraId="714A70E1"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4D0900" w14:paraId="656F6CD2"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608F903A" w14:textId="02DADD1A"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1D3E49">
              <w:rPr>
                <w:rFonts w:ascii="Arial" w:hAnsi="Arial" w:cs="Arial"/>
                <w:sz w:val="20"/>
                <w:szCs w:val="20"/>
              </w:rPr>
              <w:t>1</w:t>
            </w:r>
            <w:r>
              <w:rPr>
                <w:rFonts w:ascii="Arial" w:hAnsi="Arial" w:cs="Arial"/>
                <w:sz w:val="20"/>
                <w:szCs w:val="20"/>
              </w:rPr>
              <w:t>/</w:t>
            </w:r>
            <w:r w:rsidR="001D3E49">
              <w:rPr>
                <w:rFonts w:ascii="Arial" w:hAnsi="Arial" w:cs="Arial"/>
                <w:sz w:val="20"/>
                <w:szCs w:val="20"/>
              </w:rPr>
              <w:t>30</w:t>
            </w:r>
            <w:r>
              <w:rPr>
                <w:rFonts w:ascii="Arial" w:hAnsi="Arial" w:cs="Arial"/>
                <w:sz w:val="20"/>
                <w:szCs w:val="20"/>
              </w:rPr>
              <w:t>-02/0</w:t>
            </w:r>
            <w:r w:rsidR="001D3E49">
              <w:rPr>
                <w:rFonts w:ascii="Arial" w:hAnsi="Arial" w:cs="Arial"/>
                <w:sz w:val="20"/>
                <w:szCs w:val="20"/>
              </w:rPr>
              <w:t>5</w:t>
            </w:r>
          </w:p>
        </w:tc>
        <w:tc>
          <w:tcPr>
            <w:tcW w:w="4839" w:type="dxa"/>
            <w:tcBorders>
              <w:top w:val="single" w:sz="4" w:space="0" w:color="auto"/>
              <w:left w:val="single" w:sz="4" w:space="0" w:color="auto"/>
              <w:bottom w:val="single" w:sz="4" w:space="0" w:color="auto"/>
              <w:right w:val="single" w:sz="4" w:space="0" w:color="auto"/>
            </w:tcBorders>
            <w:hideMark/>
          </w:tcPr>
          <w:p w14:paraId="7E9CEE50"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4D0900" w14:paraId="67171461"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7EAE9492" w14:textId="4F69BA51"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02/0</w:t>
            </w:r>
            <w:r w:rsidR="001D3E49">
              <w:rPr>
                <w:rFonts w:ascii="Arial" w:hAnsi="Arial" w:cs="Arial"/>
                <w:sz w:val="20"/>
                <w:szCs w:val="20"/>
              </w:rPr>
              <w:t>6</w:t>
            </w:r>
            <w:r>
              <w:rPr>
                <w:rFonts w:ascii="Arial" w:hAnsi="Arial" w:cs="Arial"/>
                <w:sz w:val="20"/>
                <w:szCs w:val="20"/>
              </w:rPr>
              <w:t>-02/1</w:t>
            </w:r>
            <w:r w:rsidR="001D3E49">
              <w:rPr>
                <w:rFonts w:ascii="Arial" w:hAnsi="Arial" w:cs="Arial"/>
                <w:sz w:val="20"/>
                <w:szCs w:val="20"/>
              </w:rPr>
              <w:t>2</w:t>
            </w:r>
          </w:p>
        </w:tc>
        <w:tc>
          <w:tcPr>
            <w:tcW w:w="4839" w:type="dxa"/>
            <w:tcBorders>
              <w:top w:val="single" w:sz="4" w:space="0" w:color="auto"/>
              <w:left w:val="single" w:sz="4" w:space="0" w:color="auto"/>
              <w:bottom w:val="single" w:sz="4" w:space="0" w:color="auto"/>
              <w:right w:val="single" w:sz="4" w:space="0" w:color="auto"/>
            </w:tcBorders>
            <w:hideMark/>
          </w:tcPr>
          <w:p w14:paraId="0A868E8B" w14:textId="77777777" w:rsidR="004D0900" w:rsidRDefault="004D0900">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4D0900" w14:paraId="231E3F96"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7B75BBAE" w14:textId="2B40A95F"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02/1</w:t>
            </w:r>
            <w:r w:rsidR="001D3E49">
              <w:rPr>
                <w:rFonts w:ascii="Arial" w:hAnsi="Arial" w:cs="Arial"/>
                <w:sz w:val="20"/>
                <w:szCs w:val="20"/>
              </w:rPr>
              <w:t>3</w:t>
            </w:r>
            <w:r>
              <w:rPr>
                <w:rFonts w:ascii="Arial" w:hAnsi="Arial" w:cs="Arial"/>
                <w:sz w:val="20"/>
                <w:szCs w:val="20"/>
              </w:rPr>
              <w:t>-02/</w:t>
            </w:r>
            <w:r w:rsidR="001D3E49">
              <w:rPr>
                <w:rFonts w:ascii="Arial" w:hAnsi="Arial" w:cs="Arial"/>
                <w:sz w:val="20"/>
                <w:szCs w:val="20"/>
              </w:rPr>
              <w:t>19</w:t>
            </w:r>
          </w:p>
        </w:tc>
        <w:tc>
          <w:tcPr>
            <w:tcW w:w="4839" w:type="dxa"/>
            <w:tcBorders>
              <w:top w:val="single" w:sz="4" w:space="0" w:color="auto"/>
              <w:left w:val="single" w:sz="4" w:space="0" w:color="auto"/>
              <w:bottom w:val="single" w:sz="4" w:space="0" w:color="auto"/>
              <w:right w:val="single" w:sz="4" w:space="0" w:color="auto"/>
            </w:tcBorders>
            <w:hideMark/>
          </w:tcPr>
          <w:p w14:paraId="6EADF85F" w14:textId="77777777" w:rsidR="004D0900" w:rsidRDefault="004D0900">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Pr>
                <w:rFonts w:ascii="Arial" w:hAnsi="Arial" w:cs="Arial"/>
                <w:sz w:val="20"/>
                <w:szCs w:val="20"/>
              </w:rPr>
              <w:t>(Module 5)</w:t>
            </w:r>
          </w:p>
        </w:tc>
      </w:tr>
      <w:tr w:rsidR="004D0900" w14:paraId="6AFEEBE2"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5A7A26B2" w14:textId="77C0A09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02/2</w:t>
            </w:r>
            <w:r w:rsidR="001D3E49">
              <w:rPr>
                <w:rFonts w:ascii="Arial" w:hAnsi="Arial" w:cs="Arial"/>
                <w:sz w:val="20"/>
                <w:szCs w:val="20"/>
              </w:rPr>
              <w:t>0</w:t>
            </w:r>
            <w:r>
              <w:rPr>
                <w:rFonts w:ascii="Arial" w:hAnsi="Arial" w:cs="Arial"/>
                <w:sz w:val="20"/>
                <w:szCs w:val="20"/>
              </w:rPr>
              <w:t>-0</w:t>
            </w:r>
            <w:r w:rsidR="001D3E49">
              <w:rPr>
                <w:rFonts w:ascii="Arial" w:hAnsi="Arial" w:cs="Arial"/>
                <w:sz w:val="20"/>
                <w:szCs w:val="20"/>
              </w:rPr>
              <w:t>2</w:t>
            </w:r>
            <w:r>
              <w:rPr>
                <w:rFonts w:ascii="Arial" w:hAnsi="Arial" w:cs="Arial"/>
                <w:sz w:val="20"/>
                <w:szCs w:val="20"/>
              </w:rPr>
              <w:t>/</w:t>
            </w:r>
            <w:r w:rsidR="001D3E49">
              <w:rPr>
                <w:rFonts w:ascii="Arial" w:hAnsi="Arial" w:cs="Arial"/>
                <w:sz w:val="20"/>
                <w:szCs w:val="20"/>
              </w:rPr>
              <w:t>26</w:t>
            </w:r>
          </w:p>
        </w:tc>
        <w:tc>
          <w:tcPr>
            <w:tcW w:w="4839" w:type="dxa"/>
            <w:tcBorders>
              <w:top w:val="single" w:sz="4" w:space="0" w:color="auto"/>
              <w:left w:val="single" w:sz="4" w:space="0" w:color="auto"/>
              <w:bottom w:val="single" w:sz="4" w:space="0" w:color="auto"/>
              <w:right w:val="single" w:sz="4" w:space="0" w:color="auto"/>
            </w:tcBorders>
            <w:hideMark/>
          </w:tcPr>
          <w:p w14:paraId="1B2B6643"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4D0900" w14:paraId="49415535"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50AC2B3F" w14:textId="5AA87BB1"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6875C3">
              <w:rPr>
                <w:rFonts w:ascii="Arial" w:hAnsi="Arial" w:cs="Arial"/>
                <w:sz w:val="20"/>
                <w:szCs w:val="20"/>
              </w:rPr>
              <w:t>2</w:t>
            </w:r>
            <w:r>
              <w:rPr>
                <w:rFonts w:ascii="Arial" w:hAnsi="Arial" w:cs="Arial"/>
                <w:sz w:val="20"/>
                <w:szCs w:val="20"/>
              </w:rPr>
              <w:t>/</w:t>
            </w:r>
            <w:r w:rsidR="006875C3">
              <w:rPr>
                <w:rFonts w:ascii="Arial" w:hAnsi="Arial" w:cs="Arial"/>
                <w:sz w:val="20"/>
                <w:szCs w:val="20"/>
              </w:rPr>
              <w:t>27</w:t>
            </w:r>
            <w:r>
              <w:rPr>
                <w:rFonts w:ascii="Arial" w:hAnsi="Arial" w:cs="Arial"/>
                <w:sz w:val="20"/>
                <w:szCs w:val="20"/>
              </w:rPr>
              <w:t>-03/0</w:t>
            </w:r>
            <w:r w:rsidR="006875C3">
              <w:rPr>
                <w:rFonts w:ascii="Arial" w:hAnsi="Arial" w:cs="Arial"/>
                <w:sz w:val="20"/>
                <w:szCs w:val="20"/>
              </w:rPr>
              <w:t>5</w:t>
            </w:r>
          </w:p>
        </w:tc>
        <w:tc>
          <w:tcPr>
            <w:tcW w:w="4839" w:type="dxa"/>
            <w:tcBorders>
              <w:top w:val="single" w:sz="4" w:space="0" w:color="auto"/>
              <w:left w:val="single" w:sz="4" w:space="0" w:color="auto"/>
              <w:bottom w:val="single" w:sz="4" w:space="0" w:color="auto"/>
              <w:right w:val="single" w:sz="4" w:space="0" w:color="auto"/>
            </w:tcBorders>
            <w:hideMark/>
          </w:tcPr>
          <w:p w14:paraId="7803EA52"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4D0900" w14:paraId="44638448"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6A6EB130" w14:textId="1D4964E9"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03/0</w:t>
            </w:r>
            <w:r w:rsidR="006875C3">
              <w:rPr>
                <w:rFonts w:ascii="Arial" w:hAnsi="Arial" w:cs="Arial"/>
                <w:sz w:val="20"/>
                <w:szCs w:val="20"/>
              </w:rPr>
              <w:t>6</w:t>
            </w:r>
            <w:r>
              <w:rPr>
                <w:rFonts w:ascii="Arial" w:hAnsi="Arial" w:cs="Arial"/>
                <w:sz w:val="20"/>
                <w:szCs w:val="20"/>
              </w:rPr>
              <w:t>-03/1</w:t>
            </w:r>
            <w:r w:rsidR="006875C3">
              <w:rPr>
                <w:rFonts w:ascii="Arial" w:hAnsi="Arial" w:cs="Arial"/>
                <w:sz w:val="20"/>
                <w:szCs w:val="20"/>
              </w:rPr>
              <w:t>2</w:t>
            </w:r>
          </w:p>
        </w:tc>
        <w:tc>
          <w:tcPr>
            <w:tcW w:w="4839" w:type="dxa"/>
            <w:tcBorders>
              <w:top w:val="single" w:sz="4" w:space="0" w:color="auto"/>
              <w:left w:val="single" w:sz="4" w:space="0" w:color="auto"/>
              <w:bottom w:val="single" w:sz="4" w:space="0" w:color="auto"/>
              <w:right w:val="single" w:sz="4" w:space="0" w:color="auto"/>
            </w:tcBorders>
            <w:hideMark/>
          </w:tcPr>
          <w:p w14:paraId="33905D99" w14:textId="4CD4BA0F" w:rsidR="004D0900" w:rsidRDefault="006875C3">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4D0900" w14:paraId="77ACACDC"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38D6A5DC" w14:textId="292FB6AA"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03/1</w:t>
            </w:r>
            <w:r w:rsidR="006875C3">
              <w:rPr>
                <w:rFonts w:ascii="Arial" w:hAnsi="Arial" w:cs="Arial"/>
                <w:sz w:val="20"/>
                <w:szCs w:val="20"/>
              </w:rPr>
              <w:t>3</w:t>
            </w:r>
            <w:r>
              <w:rPr>
                <w:rFonts w:ascii="Arial" w:hAnsi="Arial" w:cs="Arial"/>
                <w:sz w:val="20"/>
                <w:szCs w:val="20"/>
              </w:rPr>
              <w:t>-03/</w:t>
            </w:r>
            <w:r w:rsidR="006875C3">
              <w:rPr>
                <w:rFonts w:ascii="Arial" w:hAnsi="Arial" w:cs="Arial"/>
                <w:sz w:val="20"/>
                <w:szCs w:val="20"/>
              </w:rPr>
              <w:t>19</w:t>
            </w:r>
          </w:p>
        </w:tc>
        <w:tc>
          <w:tcPr>
            <w:tcW w:w="4839" w:type="dxa"/>
            <w:tcBorders>
              <w:top w:val="single" w:sz="4" w:space="0" w:color="auto"/>
              <w:left w:val="single" w:sz="4" w:space="0" w:color="auto"/>
              <w:bottom w:val="single" w:sz="4" w:space="0" w:color="auto"/>
              <w:right w:val="single" w:sz="4" w:space="0" w:color="auto"/>
            </w:tcBorders>
            <w:hideMark/>
          </w:tcPr>
          <w:p w14:paraId="1DA5AB63" w14:textId="71D8C20D" w:rsidR="004D0900" w:rsidRDefault="006875C3">
            <w:pPr>
              <w:widowControl w:val="0"/>
              <w:autoSpaceDE w:val="0"/>
              <w:autoSpaceDN w:val="0"/>
              <w:adjustRightInd w:val="0"/>
              <w:rPr>
                <w:rFonts w:ascii="Arial" w:hAnsi="Arial" w:cs="Arial"/>
                <w:sz w:val="20"/>
                <w:szCs w:val="20"/>
              </w:rPr>
            </w:pPr>
            <w:r>
              <w:rPr>
                <w:rFonts w:ascii="Arial" w:hAnsi="Arial" w:cs="Arial"/>
                <w:sz w:val="20"/>
                <w:szCs w:val="20"/>
              </w:rPr>
              <w:t>Spring Break</w:t>
            </w:r>
          </w:p>
        </w:tc>
      </w:tr>
      <w:tr w:rsidR="004D0900" w14:paraId="73E129A3"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36706118" w14:textId="182C35EB"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03/2</w:t>
            </w:r>
            <w:r w:rsidR="006875C3">
              <w:rPr>
                <w:rFonts w:ascii="Arial" w:hAnsi="Arial" w:cs="Arial"/>
                <w:sz w:val="20"/>
                <w:szCs w:val="20"/>
              </w:rPr>
              <w:t>0</w:t>
            </w:r>
            <w:r>
              <w:rPr>
                <w:rFonts w:ascii="Arial" w:hAnsi="Arial" w:cs="Arial"/>
                <w:sz w:val="20"/>
                <w:szCs w:val="20"/>
              </w:rPr>
              <w:t>-03/2</w:t>
            </w:r>
            <w:r w:rsidR="006875C3">
              <w:rPr>
                <w:rFonts w:ascii="Arial" w:hAnsi="Arial" w:cs="Arial"/>
                <w:sz w:val="20"/>
                <w:szCs w:val="20"/>
              </w:rPr>
              <w:t>6</w:t>
            </w:r>
          </w:p>
        </w:tc>
        <w:tc>
          <w:tcPr>
            <w:tcW w:w="4839" w:type="dxa"/>
            <w:tcBorders>
              <w:top w:val="single" w:sz="4" w:space="0" w:color="auto"/>
              <w:left w:val="single" w:sz="4" w:space="0" w:color="auto"/>
              <w:bottom w:val="single" w:sz="4" w:space="0" w:color="auto"/>
              <w:right w:val="single" w:sz="4" w:space="0" w:color="auto"/>
            </w:tcBorders>
            <w:hideMark/>
          </w:tcPr>
          <w:p w14:paraId="1049A239"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4D0900" w14:paraId="17AC4BA3"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2007569E" w14:textId="3502D38D"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03/</w:t>
            </w:r>
            <w:r w:rsidR="006875C3">
              <w:rPr>
                <w:rFonts w:ascii="Arial" w:hAnsi="Arial" w:cs="Arial"/>
                <w:sz w:val="20"/>
                <w:szCs w:val="20"/>
              </w:rPr>
              <w:t>27</w:t>
            </w:r>
            <w:r>
              <w:rPr>
                <w:rFonts w:ascii="Arial" w:hAnsi="Arial" w:cs="Arial"/>
                <w:sz w:val="20"/>
                <w:szCs w:val="20"/>
              </w:rPr>
              <w:t>-04/0</w:t>
            </w:r>
            <w:r w:rsidR="006875C3">
              <w:rPr>
                <w:rFonts w:ascii="Arial" w:hAnsi="Arial" w:cs="Arial"/>
                <w:sz w:val="20"/>
                <w:szCs w:val="20"/>
              </w:rPr>
              <w:t>2</w:t>
            </w:r>
          </w:p>
        </w:tc>
        <w:tc>
          <w:tcPr>
            <w:tcW w:w="4839" w:type="dxa"/>
            <w:tcBorders>
              <w:top w:val="single" w:sz="4" w:space="0" w:color="auto"/>
              <w:left w:val="single" w:sz="4" w:space="0" w:color="auto"/>
              <w:bottom w:val="single" w:sz="4" w:space="0" w:color="auto"/>
              <w:right w:val="single" w:sz="4" w:space="0" w:color="auto"/>
            </w:tcBorders>
            <w:hideMark/>
          </w:tcPr>
          <w:p w14:paraId="54929D60" w14:textId="1969B9B3" w:rsidR="004D0900" w:rsidRDefault="004D0900">
            <w:pPr>
              <w:widowControl w:val="0"/>
              <w:autoSpaceDE w:val="0"/>
              <w:autoSpaceDN w:val="0"/>
              <w:adjustRightInd w:val="0"/>
              <w:rPr>
                <w:rFonts w:ascii="Arial" w:hAnsi="Arial" w:cs="Arial"/>
                <w:b/>
                <w:sz w:val="20"/>
                <w:szCs w:val="20"/>
              </w:rPr>
            </w:pPr>
            <w:r>
              <w:rPr>
                <w:rFonts w:ascii="Arial" w:hAnsi="Arial" w:cs="Arial"/>
                <w:sz w:val="20"/>
                <w:szCs w:val="20"/>
              </w:rPr>
              <w:t>1</w:t>
            </w:r>
            <w:r w:rsidR="00750047">
              <w:rPr>
                <w:rFonts w:ascii="Arial" w:hAnsi="Arial" w:cs="Arial"/>
                <w:sz w:val="20"/>
                <w:szCs w:val="20"/>
              </w:rPr>
              <w:t>1</w:t>
            </w:r>
            <w:r>
              <w:rPr>
                <w:rFonts w:ascii="Arial" w:hAnsi="Arial" w:cs="Arial"/>
                <w:sz w:val="20"/>
                <w:szCs w:val="20"/>
              </w:rPr>
              <w:t>,</w:t>
            </w:r>
            <w:r w:rsidR="00750047">
              <w:rPr>
                <w:rFonts w:ascii="Arial" w:hAnsi="Arial" w:cs="Arial"/>
                <w:sz w:val="20"/>
                <w:szCs w:val="20"/>
              </w:rPr>
              <w:t xml:space="preserve"> </w:t>
            </w:r>
            <w:r>
              <w:rPr>
                <w:rFonts w:ascii="Arial" w:hAnsi="Arial" w:cs="Arial"/>
                <w:b/>
                <w:sz w:val="20"/>
                <w:szCs w:val="20"/>
              </w:rPr>
              <w:t xml:space="preserve">Exam 2 </w:t>
            </w:r>
            <w:r>
              <w:rPr>
                <w:rFonts w:ascii="Arial" w:hAnsi="Arial" w:cs="Arial"/>
                <w:sz w:val="20"/>
                <w:szCs w:val="20"/>
              </w:rPr>
              <w:t>(Module 10)</w:t>
            </w:r>
          </w:p>
        </w:tc>
      </w:tr>
      <w:tr w:rsidR="004D0900" w14:paraId="71635031"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47DE64EF" w14:textId="6D892C38"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04/0</w:t>
            </w:r>
            <w:r w:rsidR="006875C3">
              <w:rPr>
                <w:rFonts w:ascii="Arial" w:hAnsi="Arial" w:cs="Arial"/>
                <w:sz w:val="20"/>
                <w:szCs w:val="20"/>
              </w:rPr>
              <w:t>3</w:t>
            </w:r>
            <w:r>
              <w:rPr>
                <w:rFonts w:ascii="Arial" w:hAnsi="Arial" w:cs="Arial"/>
                <w:sz w:val="20"/>
                <w:szCs w:val="20"/>
              </w:rPr>
              <w:t>-04/</w:t>
            </w:r>
            <w:r w:rsidR="006875C3">
              <w:rPr>
                <w:rFonts w:ascii="Arial" w:hAnsi="Arial" w:cs="Arial"/>
                <w:sz w:val="20"/>
                <w:szCs w:val="20"/>
              </w:rPr>
              <w:t>09</w:t>
            </w:r>
          </w:p>
        </w:tc>
        <w:tc>
          <w:tcPr>
            <w:tcW w:w="4839" w:type="dxa"/>
            <w:tcBorders>
              <w:top w:val="single" w:sz="4" w:space="0" w:color="auto"/>
              <w:left w:val="single" w:sz="4" w:space="0" w:color="auto"/>
              <w:bottom w:val="single" w:sz="4" w:space="0" w:color="auto"/>
              <w:right w:val="single" w:sz="4" w:space="0" w:color="auto"/>
            </w:tcBorders>
            <w:hideMark/>
          </w:tcPr>
          <w:p w14:paraId="39D311EC"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12 (Module 11)</w:t>
            </w:r>
          </w:p>
        </w:tc>
      </w:tr>
      <w:tr w:rsidR="004D0900" w14:paraId="7BCA930F"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0A085041" w14:textId="1658FE9A"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04/</w:t>
            </w:r>
            <w:r w:rsidR="006875C3">
              <w:rPr>
                <w:rFonts w:ascii="Arial" w:hAnsi="Arial" w:cs="Arial"/>
                <w:sz w:val="20"/>
                <w:szCs w:val="20"/>
              </w:rPr>
              <w:t>10</w:t>
            </w:r>
            <w:r>
              <w:rPr>
                <w:rFonts w:ascii="Arial" w:hAnsi="Arial" w:cs="Arial"/>
                <w:sz w:val="20"/>
                <w:szCs w:val="20"/>
              </w:rPr>
              <w:t>-04/</w:t>
            </w:r>
            <w:r w:rsidR="006875C3">
              <w:rPr>
                <w:rFonts w:ascii="Arial" w:hAnsi="Arial" w:cs="Arial"/>
                <w:sz w:val="20"/>
                <w:szCs w:val="20"/>
              </w:rPr>
              <w:t>16</w:t>
            </w:r>
          </w:p>
        </w:tc>
        <w:tc>
          <w:tcPr>
            <w:tcW w:w="4839" w:type="dxa"/>
            <w:tcBorders>
              <w:top w:val="single" w:sz="4" w:space="0" w:color="auto"/>
              <w:left w:val="single" w:sz="4" w:space="0" w:color="auto"/>
              <w:bottom w:val="single" w:sz="4" w:space="0" w:color="auto"/>
              <w:right w:val="single" w:sz="4" w:space="0" w:color="auto"/>
            </w:tcBorders>
            <w:hideMark/>
          </w:tcPr>
          <w:p w14:paraId="7BFB892E"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4D0900" w14:paraId="086382FB"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25788F47" w14:textId="41B73291"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04/</w:t>
            </w:r>
            <w:r w:rsidR="006875C3">
              <w:rPr>
                <w:rFonts w:ascii="Arial" w:hAnsi="Arial" w:cs="Arial"/>
                <w:sz w:val="20"/>
                <w:szCs w:val="20"/>
              </w:rPr>
              <w:t>17</w:t>
            </w:r>
            <w:r>
              <w:rPr>
                <w:rFonts w:ascii="Arial" w:hAnsi="Arial" w:cs="Arial"/>
                <w:sz w:val="20"/>
                <w:szCs w:val="20"/>
              </w:rPr>
              <w:t>-04/</w:t>
            </w:r>
            <w:r w:rsidR="006875C3">
              <w:rPr>
                <w:rFonts w:ascii="Arial" w:hAnsi="Arial" w:cs="Arial"/>
                <w:sz w:val="20"/>
                <w:szCs w:val="20"/>
              </w:rPr>
              <w:t>23</w:t>
            </w:r>
          </w:p>
        </w:tc>
        <w:tc>
          <w:tcPr>
            <w:tcW w:w="4839" w:type="dxa"/>
            <w:tcBorders>
              <w:top w:val="single" w:sz="4" w:space="0" w:color="auto"/>
              <w:left w:val="single" w:sz="4" w:space="0" w:color="auto"/>
              <w:bottom w:val="single" w:sz="4" w:space="0" w:color="auto"/>
              <w:right w:val="single" w:sz="4" w:space="0" w:color="auto"/>
            </w:tcBorders>
            <w:hideMark/>
          </w:tcPr>
          <w:p w14:paraId="1D1D4EC4"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4D0900" w14:paraId="1EF22E2C" w14:textId="77777777" w:rsidTr="004D0900">
        <w:trPr>
          <w:trHeight w:val="269"/>
        </w:trPr>
        <w:tc>
          <w:tcPr>
            <w:tcW w:w="4823" w:type="dxa"/>
            <w:tcBorders>
              <w:top w:val="single" w:sz="4" w:space="0" w:color="auto"/>
              <w:left w:val="single" w:sz="4" w:space="0" w:color="auto"/>
              <w:bottom w:val="single" w:sz="4" w:space="0" w:color="auto"/>
              <w:right w:val="single" w:sz="4" w:space="0" w:color="auto"/>
            </w:tcBorders>
            <w:hideMark/>
          </w:tcPr>
          <w:p w14:paraId="6CA49F7D" w14:textId="6601EF2A"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04/2</w:t>
            </w:r>
            <w:r w:rsidR="006875C3">
              <w:rPr>
                <w:rFonts w:ascii="Arial" w:hAnsi="Arial" w:cs="Arial"/>
                <w:sz w:val="20"/>
                <w:szCs w:val="20"/>
              </w:rPr>
              <w:t>4</w:t>
            </w:r>
            <w:r>
              <w:rPr>
                <w:rFonts w:ascii="Arial" w:hAnsi="Arial" w:cs="Arial"/>
                <w:sz w:val="20"/>
                <w:szCs w:val="20"/>
              </w:rPr>
              <w:t>-0</w:t>
            </w:r>
            <w:r w:rsidR="006875C3">
              <w:rPr>
                <w:rFonts w:ascii="Arial" w:hAnsi="Arial" w:cs="Arial"/>
                <w:sz w:val="20"/>
                <w:szCs w:val="20"/>
              </w:rPr>
              <w:t>4</w:t>
            </w:r>
            <w:r>
              <w:rPr>
                <w:rFonts w:ascii="Arial" w:hAnsi="Arial" w:cs="Arial"/>
                <w:sz w:val="20"/>
                <w:szCs w:val="20"/>
              </w:rPr>
              <w:t>/</w:t>
            </w:r>
            <w:r w:rsidR="006875C3">
              <w:rPr>
                <w:rFonts w:ascii="Arial" w:hAnsi="Arial" w:cs="Arial"/>
                <w:sz w:val="20"/>
                <w:szCs w:val="20"/>
              </w:rPr>
              <w:t>30</w:t>
            </w:r>
          </w:p>
        </w:tc>
        <w:tc>
          <w:tcPr>
            <w:tcW w:w="4839" w:type="dxa"/>
            <w:tcBorders>
              <w:top w:val="single" w:sz="4" w:space="0" w:color="auto"/>
              <w:left w:val="single" w:sz="4" w:space="0" w:color="auto"/>
              <w:bottom w:val="single" w:sz="4" w:space="0" w:color="auto"/>
              <w:right w:val="single" w:sz="4" w:space="0" w:color="auto"/>
            </w:tcBorders>
            <w:hideMark/>
          </w:tcPr>
          <w:p w14:paraId="0287631E" w14:textId="77777777" w:rsidR="004D0900" w:rsidRDefault="004D0900">
            <w:pPr>
              <w:widowControl w:val="0"/>
              <w:autoSpaceDE w:val="0"/>
              <w:autoSpaceDN w:val="0"/>
              <w:adjustRightInd w:val="0"/>
              <w:rPr>
                <w:rFonts w:ascii="Arial" w:hAnsi="Arial" w:cs="Arial"/>
                <w:b/>
                <w:sz w:val="20"/>
                <w:szCs w:val="20"/>
              </w:rPr>
            </w:pPr>
            <w:r>
              <w:rPr>
                <w:rFonts w:ascii="Arial" w:hAnsi="Arial" w:cs="Arial"/>
                <w:sz w:val="20"/>
                <w:szCs w:val="20"/>
              </w:rPr>
              <w:t>15-16 (Module 14)</w:t>
            </w:r>
          </w:p>
        </w:tc>
      </w:tr>
      <w:tr w:rsidR="004D0900" w14:paraId="11E18FC1" w14:textId="77777777" w:rsidTr="004D0900">
        <w:trPr>
          <w:trHeight w:val="269"/>
        </w:trPr>
        <w:tc>
          <w:tcPr>
            <w:tcW w:w="4823" w:type="dxa"/>
            <w:tcBorders>
              <w:top w:val="single" w:sz="4" w:space="0" w:color="auto"/>
              <w:left w:val="single" w:sz="4" w:space="0" w:color="auto"/>
              <w:bottom w:val="single" w:sz="4" w:space="0" w:color="auto"/>
              <w:right w:val="single" w:sz="4" w:space="0" w:color="auto"/>
            </w:tcBorders>
            <w:hideMark/>
          </w:tcPr>
          <w:p w14:paraId="4BE21146" w14:textId="60E11A4E" w:rsidR="004D0900" w:rsidRDefault="004D0900">
            <w:pPr>
              <w:widowControl w:val="0"/>
              <w:autoSpaceDE w:val="0"/>
              <w:autoSpaceDN w:val="0"/>
              <w:adjustRightInd w:val="0"/>
              <w:rPr>
                <w:rFonts w:ascii="Arial" w:hAnsi="Arial" w:cs="Arial"/>
                <w:b/>
                <w:sz w:val="20"/>
                <w:szCs w:val="20"/>
              </w:rPr>
            </w:pPr>
            <w:r>
              <w:rPr>
                <w:rFonts w:ascii="Arial" w:hAnsi="Arial" w:cs="Arial"/>
                <w:sz w:val="20"/>
                <w:szCs w:val="20"/>
              </w:rPr>
              <w:t>05/0</w:t>
            </w:r>
            <w:r w:rsidR="006875C3">
              <w:rPr>
                <w:rFonts w:ascii="Arial" w:hAnsi="Arial" w:cs="Arial"/>
                <w:sz w:val="20"/>
                <w:szCs w:val="20"/>
              </w:rPr>
              <w:t>1</w:t>
            </w:r>
            <w:r>
              <w:rPr>
                <w:rFonts w:ascii="Arial" w:hAnsi="Arial" w:cs="Arial"/>
                <w:sz w:val="20"/>
                <w:szCs w:val="20"/>
              </w:rPr>
              <w:t>-05/</w:t>
            </w:r>
            <w:r w:rsidR="006875C3">
              <w:rPr>
                <w:rFonts w:ascii="Arial" w:hAnsi="Arial" w:cs="Arial"/>
                <w:sz w:val="20"/>
                <w:szCs w:val="20"/>
              </w:rPr>
              <w:t>07</w:t>
            </w:r>
          </w:p>
        </w:tc>
        <w:tc>
          <w:tcPr>
            <w:tcW w:w="4839" w:type="dxa"/>
            <w:tcBorders>
              <w:top w:val="single" w:sz="4" w:space="0" w:color="auto"/>
              <w:left w:val="single" w:sz="4" w:space="0" w:color="auto"/>
              <w:bottom w:val="single" w:sz="4" w:space="0" w:color="auto"/>
              <w:right w:val="single" w:sz="4" w:space="0" w:color="auto"/>
            </w:tcBorders>
            <w:hideMark/>
          </w:tcPr>
          <w:p w14:paraId="3ABD7941" w14:textId="77777777" w:rsidR="004D0900" w:rsidRDefault="004D0900">
            <w:pPr>
              <w:widowControl w:val="0"/>
              <w:autoSpaceDE w:val="0"/>
              <w:autoSpaceDN w:val="0"/>
              <w:adjustRightInd w:val="0"/>
              <w:rPr>
                <w:rFonts w:ascii="Arial" w:hAnsi="Arial" w:cs="Arial"/>
                <w:sz w:val="20"/>
                <w:szCs w:val="20"/>
              </w:rPr>
            </w:pPr>
            <w:r>
              <w:rPr>
                <w:rFonts w:ascii="Arial" w:hAnsi="Arial" w:cs="Arial"/>
                <w:b/>
                <w:sz w:val="20"/>
                <w:szCs w:val="20"/>
              </w:rPr>
              <w:t xml:space="preserve">Exam 3 </w:t>
            </w:r>
            <w:r>
              <w:rPr>
                <w:rFonts w:ascii="Arial" w:hAnsi="Arial" w:cs="Arial"/>
                <w:sz w:val="20"/>
                <w:szCs w:val="20"/>
              </w:rPr>
              <w:t>(Module 15)</w:t>
            </w:r>
          </w:p>
        </w:tc>
      </w:tr>
    </w:tbl>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3EDABD71" w14:textId="77777777" w:rsidR="00B643CE" w:rsidRPr="00AD62A6" w:rsidRDefault="00B643CE" w:rsidP="00B643CE">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B643CE" w14:paraId="5A8EAF5A" w14:textId="77777777" w:rsidTr="00352A71">
        <w:trPr>
          <w:trHeight w:val="221"/>
        </w:trPr>
        <w:tc>
          <w:tcPr>
            <w:tcW w:w="2371" w:type="dxa"/>
          </w:tcPr>
          <w:p w14:paraId="68A25B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528" w:type="dxa"/>
          </w:tcPr>
          <w:p w14:paraId="37AAEF8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33B3B10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F9B797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E6E7D3C" w14:textId="77777777" w:rsidTr="00352A71">
        <w:trPr>
          <w:trHeight w:val="221"/>
        </w:trPr>
        <w:tc>
          <w:tcPr>
            <w:tcW w:w="2371" w:type="dxa"/>
          </w:tcPr>
          <w:p w14:paraId="2EE9FE9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528" w:type="dxa"/>
          </w:tcPr>
          <w:p w14:paraId="61D8BA1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526849B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5E0DC4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5E5262A" w14:textId="77777777" w:rsidTr="00352A71">
        <w:trPr>
          <w:trHeight w:val="221"/>
        </w:trPr>
        <w:tc>
          <w:tcPr>
            <w:tcW w:w="2371" w:type="dxa"/>
          </w:tcPr>
          <w:p w14:paraId="0FC735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528" w:type="dxa"/>
          </w:tcPr>
          <w:p w14:paraId="685E120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7BE66C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51CB78C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1F875E9" w14:textId="77777777" w:rsidTr="00352A71">
        <w:trPr>
          <w:trHeight w:val="221"/>
        </w:trPr>
        <w:tc>
          <w:tcPr>
            <w:tcW w:w="2371" w:type="dxa"/>
          </w:tcPr>
          <w:p w14:paraId="42F5D1C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528" w:type="dxa"/>
          </w:tcPr>
          <w:p w14:paraId="6B7CB14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29AACF2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18DA18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27BE6CC3" w14:textId="77777777" w:rsidTr="00352A71">
        <w:trPr>
          <w:trHeight w:val="221"/>
        </w:trPr>
        <w:tc>
          <w:tcPr>
            <w:tcW w:w="2371" w:type="dxa"/>
          </w:tcPr>
          <w:p w14:paraId="33D011C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528" w:type="dxa"/>
          </w:tcPr>
          <w:p w14:paraId="504710F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516255A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447DC36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B643CE" w14:paraId="36C52195" w14:textId="77777777" w:rsidTr="00352A71">
        <w:trPr>
          <w:trHeight w:val="221"/>
        </w:trPr>
        <w:tc>
          <w:tcPr>
            <w:tcW w:w="2371" w:type="dxa"/>
          </w:tcPr>
          <w:p w14:paraId="4F5F319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528" w:type="dxa"/>
          </w:tcPr>
          <w:p w14:paraId="11FEED1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7BD94BE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5A42265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F37272D" w14:textId="77777777" w:rsidTr="00352A71">
        <w:trPr>
          <w:trHeight w:val="221"/>
        </w:trPr>
        <w:tc>
          <w:tcPr>
            <w:tcW w:w="2371" w:type="dxa"/>
          </w:tcPr>
          <w:p w14:paraId="43A62C6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528" w:type="dxa"/>
          </w:tcPr>
          <w:p w14:paraId="5901DB4F"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37473D8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430FC64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53BCBCF4" w14:textId="77777777" w:rsidTr="00352A71">
        <w:trPr>
          <w:trHeight w:val="221"/>
        </w:trPr>
        <w:tc>
          <w:tcPr>
            <w:tcW w:w="2371" w:type="dxa"/>
          </w:tcPr>
          <w:p w14:paraId="11E6D3D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528" w:type="dxa"/>
          </w:tcPr>
          <w:p w14:paraId="5F58FD66" w14:textId="77777777" w:rsidR="00B643CE" w:rsidRDefault="00B643CE" w:rsidP="00352A71">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73FE114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4EA18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6C8D1D7" w14:textId="77777777" w:rsidTr="00352A71">
        <w:trPr>
          <w:trHeight w:val="443"/>
        </w:trPr>
        <w:tc>
          <w:tcPr>
            <w:tcW w:w="2371" w:type="dxa"/>
          </w:tcPr>
          <w:p w14:paraId="0AA9AD7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528" w:type="dxa"/>
          </w:tcPr>
          <w:p w14:paraId="2A716DE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5C90FF9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41A94BA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ED69DAF" w14:textId="77777777" w:rsidTr="00352A71">
        <w:trPr>
          <w:trHeight w:val="221"/>
        </w:trPr>
        <w:tc>
          <w:tcPr>
            <w:tcW w:w="2371" w:type="dxa"/>
          </w:tcPr>
          <w:p w14:paraId="3126DC1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528" w:type="dxa"/>
          </w:tcPr>
          <w:p w14:paraId="3AD6B7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Plastics </w:t>
            </w:r>
          </w:p>
        </w:tc>
        <w:tc>
          <w:tcPr>
            <w:tcW w:w="2530" w:type="dxa"/>
          </w:tcPr>
          <w:p w14:paraId="5A530B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EF5980A"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27C67FA" w14:textId="77777777" w:rsidTr="00352A71">
        <w:trPr>
          <w:trHeight w:val="221"/>
        </w:trPr>
        <w:tc>
          <w:tcPr>
            <w:tcW w:w="2371" w:type="dxa"/>
          </w:tcPr>
          <w:p w14:paraId="3A6C2B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528" w:type="dxa"/>
          </w:tcPr>
          <w:p w14:paraId="62CF862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4E598BE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5C584C8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BA16243" w14:textId="77777777" w:rsidTr="00352A71">
        <w:trPr>
          <w:trHeight w:val="256"/>
        </w:trPr>
        <w:tc>
          <w:tcPr>
            <w:tcW w:w="2371" w:type="dxa"/>
          </w:tcPr>
          <w:p w14:paraId="39ADBD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528" w:type="dxa"/>
          </w:tcPr>
          <w:p w14:paraId="594FD0B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66066AB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F39132D" w14:textId="42E9695A" w:rsidR="00B643CE" w:rsidRDefault="00B643CE" w:rsidP="00DB4B5D">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100pts Due </w:t>
            </w:r>
            <w:r w:rsidR="00750047">
              <w:rPr>
                <w:rFonts w:ascii="Arial" w:hAnsi="Arial" w:cs="Arial"/>
                <w:bCs/>
                <w:sz w:val="20"/>
                <w:szCs w:val="20"/>
              </w:rPr>
              <w:t>April 23rd</w:t>
            </w:r>
          </w:p>
        </w:tc>
      </w:tr>
      <w:tr w:rsidR="00B643CE" w14:paraId="13B5128F" w14:textId="77777777" w:rsidTr="00352A71">
        <w:trPr>
          <w:trHeight w:val="350"/>
        </w:trPr>
        <w:tc>
          <w:tcPr>
            <w:tcW w:w="2371" w:type="dxa"/>
          </w:tcPr>
          <w:p w14:paraId="294398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528" w:type="dxa"/>
          </w:tcPr>
          <w:p w14:paraId="212C2FC4" w14:textId="77777777" w:rsidR="00B643CE" w:rsidRDefault="00B643CE" w:rsidP="00352A71">
            <w:pPr>
              <w:widowControl w:val="0"/>
              <w:autoSpaceDE w:val="0"/>
              <w:autoSpaceDN w:val="0"/>
              <w:adjustRightInd w:val="0"/>
              <w:jc w:val="both"/>
              <w:rPr>
                <w:rFonts w:ascii="Arial" w:hAnsi="Arial" w:cs="Arial"/>
                <w:bCs/>
                <w:sz w:val="20"/>
                <w:szCs w:val="20"/>
              </w:rPr>
            </w:pPr>
            <w:proofErr w:type="spellStart"/>
            <w:r>
              <w:rPr>
                <w:rFonts w:ascii="Arial" w:hAnsi="Arial" w:cs="Arial"/>
                <w:bCs/>
                <w:sz w:val="20"/>
                <w:szCs w:val="20"/>
              </w:rPr>
              <w:t>Agrihood</w:t>
            </w:r>
            <w:proofErr w:type="spellEnd"/>
          </w:p>
        </w:tc>
        <w:tc>
          <w:tcPr>
            <w:tcW w:w="2530" w:type="dxa"/>
          </w:tcPr>
          <w:p w14:paraId="3731494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78D4B87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6AED128" w14:textId="77777777" w:rsidTr="00352A71">
        <w:trPr>
          <w:trHeight w:val="278"/>
        </w:trPr>
        <w:tc>
          <w:tcPr>
            <w:tcW w:w="2371" w:type="dxa"/>
          </w:tcPr>
          <w:p w14:paraId="2495B85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15</w:t>
            </w:r>
          </w:p>
        </w:tc>
        <w:tc>
          <w:tcPr>
            <w:tcW w:w="2528" w:type="dxa"/>
          </w:tcPr>
          <w:p w14:paraId="1ECCB00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2D89C3A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9239F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7B9AA8D2" w14:textId="77777777" w:rsidR="00B643CE" w:rsidRDefault="00B643CE" w:rsidP="00B643CE">
      <w:pPr>
        <w:widowControl w:val="0"/>
        <w:autoSpaceDE w:val="0"/>
        <w:autoSpaceDN w:val="0"/>
        <w:adjustRightInd w:val="0"/>
        <w:jc w:val="both"/>
        <w:rPr>
          <w:rFonts w:ascii="Arial" w:hAnsi="Arial" w:cs="Arial"/>
          <w:bCs/>
          <w:sz w:val="20"/>
          <w:szCs w:val="20"/>
        </w:rPr>
      </w:pPr>
    </w:p>
    <w:p w14:paraId="774B7074" w14:textId="392A8BF2" w:rsidR="00B643CE" w:rsidRPr="00AD62A6"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The lab Modules (2-14) are worth a total of 230 points. The lab final will be worth 100 points and will consist of </w:t>
      </w:r>
      <w:proofErr w:type="gramStart"/>
      <w:r>
        <w:rPr>
          <w:rFonts w:ascii="Arial" w:hAnsi="Arial" w:cs="Arial"/>
          <w:bCs/>
          <w:sz w:val="20"/>
          <w:szCs w:val="20"/>
        </w:rPr>
        <w:t>multiple</w:t>
      </w:r>
      <w:r w:rsidR="00560B52">
        <w:rPr>
          <w:rFonts w:ascii="Arial" w:hAnsi="Arial" w:cs="Arial"/>
          <w:bCs/>
          <w:sz w:val="20"/>
          <w:szCs w:val="20"/>
        </w:rPr>
        <w:t xml:space="preserve"> </w:t>
      </w:r>
      <w:r>
        <w:rPr>
          <w:rFonts w:ascii="Arial" w:hAnsi="Arial" w:cs="Arial"/>
          <w:bCs/>
          <w:sz w:val="20"/>
          <w:szCs w:val="20"/>
        </w:rPr>
        <w:t>choice</w:t>
      </w:r>
      <w:proofErr w:type="gramEnd"/>
      <w:r>
        <w:rPr>
          <w:rFonts w:ascii="Arial" w:hAnsi="Arial" w:cs="Arial"/>
          <w:bCs/>
          <w:sz w:val="20"/>
          <w:szCs w:val="20"/>
        </w:rPr>
        <w:t xml:space="preserve"> questions over the topics and information learned in lab this semester.  The total points you can earn for lab is 330 points.</w:t>
      </w:r>
    </w:p>
    <w:p w14:paraId="24260F33" w14:textId="77777777" w:rsidR="00B643CE" w:rsidRDefault="00B643CE" w:rsidP="00B643CE">
      <w:pPr>
        <w:rPr>
          <w:rFonts w:ascii="Calibri" w:eastAsia="Calibri" w:hAnsi="Calibri" w:cs="Calibri"/>
          <w:b/>
          <w:bCs/>
        </w:rPr>
      </w:pPr>
    </w:p>
    <w:p w14:paraId="640BBEDC" w14:textId="25408330" w:rsidR="00CE1AC2" w:rsidRPr="00E570A9" w:rsidRDefault="006875C3" w:rsidP="005E0DA7">
      <w:pPr>
        <w:rPr>
          <w:rFonts w:ascii="Calibri" w:eastAsia="Calibri" w:hAnsi="Calibri" w:cs="Calibri"/>
          <w:b/>
          <w:bCs/>
        </w:rPr>
      </w:pPr>
      <w:r>
        <w:rPr>
          <w:rFonts w:ascii="Calibri" w:eastAsia="Calibri" w:hAnsi="Calibri" w:cs="Calibri"/>
          <w:b/>
          <w:bCs/>
        </w:rPr>
        <w:t>Campus closed</w:t>
      </w:r>
      <w:r w:rsidR="00B643CE">
        <w:rPr>
          <w:rFonts w:ascii="Calibri" w:eastAsia="Calibri" w:hAnsi="Calibri" w:cs="Calibri"/>
          <w:b/>
          <w:bCs/>
        </w:rPr>
        <w:t xml:space="preserve"> </w:t>
      </w:r>
      <w:r>
        <w:rPr>
          <w:rFonts w:ascii="Calibri" w:eastAsia="Calibri" w:hAnsi="Calibri" w:cs="Calibri"/>
          <w:b/>
          <w:bCs/>
        </w:rPr>
        <w:t>Martin Luther King Day, January 18</w:t>
      </w:r>
      <w:r w:rsidR="00CE1AC2" w:rsidRPr="00E570A9">
        <w:rPr>
          <w:rFonts w:ascii="Calibri" w:eastAsia="Calibri" w:hAnsi="Calibri" w:cs="Calibri"/>
          <w:b/>
          <w:bCs/>
        </w:rPr>
        <w:t>.</w:t>
      </w:r>
    </w:p>
    <w:p w14:paraId="67CE05BB" w14:textId="402C781B"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B643CE">
        <w:rPr>
          <w:rFonts w:ascii="Calibri" w:eastAsia="Calibri" w:hAnsi="Calibri" w:cs="Calibri"/>
          <w:b/>
          <w:bCs/>
        </w:rPr>
        <w:t xml:space="preserve"> Drop class with a W, </w:t>
      </w:r>
      <w:r w:rsidR="006875C3">
        <w:rPr>
          <w:rFonts w:ascii="Calibri" w:eastAsia="Calibri" w:hAnsi="Calibri" w:cs="Calibri"/>
          <w:b/>
          <w:bCs/>
        </w:rPr>
        <w:t>April 5th</w:t>
      </w:r>
      <w:r w:rsidRPr="00E570A9">
        <w:rPr>
          <w:rFonts w:ascii="Calibri" w:eastAsia="Calibri" w:hAnsi="Calibri" w:cs="Calibri"/>
          <w:b/>
          <w:bCs/>
        </w:rPr>
        <w:t>.</w:t>
      </w:r>
    </w:p>
    <w:p w14:paraId="3A8C7A1A" w14:textId="30DDB6DB" w:rsidR="00CE1AC2" w:rsidRDefault="006875C3" w:rsidP="005E0DA7">
      <w:pPr>
        <w:rPr>
          <w:rFonts w:ascii="Calibri" w:eastAsia="Calibri" w:hAnsi="Calibri" w:cs="Calibri"/>
          <w:b/>
          <w:bCs/>
        </w:rPr>
      </w:pPr>
      <w:r>
        <w:rPr>
          <w:rFonts w:ascii="Calibri" w:eastAsia="Calibri" w:hAnsi="Calibri" w:cs="Calibri"/>
          <w:b/>
          <w:bCs/>
        </w:rPr>
        <w:t>Spring Break March 15th – 21st</w:t>
      </w:r>
      <w:r w:rsidR="003864AB">
        <w:rPr>
          <w:rFonts w:ascii="Calibri" w:eastAsia="Calibri" w:hAnsi="Calibri" w:cs="Calibri"/>
          <w:b/>
          <w:bCs/>
        </w:rPr>
        <w:t>.</w:t>
      </w:r>
    </w:p>
    <w:p w14:paraId="44BCB2EB" w14:textId="688C3F8C" w:rsidR="00D2584E" w:rsidRDefault="00D2584E" w:rsidP="005E0DA7">
      <w:pPr>
        <w:rPr>
          <w:rFonts w:ascii="Calibri" w:eastAsia="Calibri" w:hAnsi="Calibri" w:cs="Calibri"/>
          <w:b/>
          <w:bCs/>
        </w:rPr>
      </w:pPr>
      <w:r>
        <w:rPr>
          <w:rFonts w:ascii="Calibri" w:eastAsia="Calibri" w:hAnsi="Calibri" w:cs="Calibri"/>
          <w:b/>
          <w:bCs/>
        </w:rPr>
        <w:t>Final Exams, May 10</w:t>
      </w:r>
      <w:r w:rsidRPr="00D2584E">
        <w:rPr>
          <w:rFonts w:ascii="Calibri" w:eastAsia="Calibri" w:hAnsi="Calibri" w:cs="Calibri"/>
          <w:b/>
          <w:bCs/>
          <w:vertAlign w:val="superscript"/>
        </w:rPr>
        <w:t>th</w:t>
      </w:r>
      <w:r>
        <w:rPr>
          <w:rFonts w:ascii="Calibri" w:eastAsia="Calibri" w:hAnsi="Calibri" w:cs="Calibri"/>
          <w:b/>
          <w:bCs/>
        </w:rPr>
        <w:t>-15</w:t>
      </w:r>
      <w:r w:rsidRPr="00D2584E">
        <w:rPr>
          <w:rFonts w:ascii="Calibri" w:eastAsia="Calibri" w:hAnsi="Calibri" w:cs="Calibri"/>
          <w:b/>
          <w:bCs/>
          <w:vertAlign w:val="superscript"/>
        </w:rPr>
        <w:t>th</w:t>
      </w:r>
      <w:r>
        <w:rPr>
          <w:rFonts w:ascii="Calibri" w:eastAsia="Calibri" w:hAnsi="Calibri" w:cs="Calibri"/>
          <w:b/>
          <w:bCs/>
        </w:rPr>
        <w:t>.</w:t>
      </w:r>
    </w:p>
    <w:p w14:paraId="430EFA1B" w14:textId="1F735D5A" w:rsidR="00BE3CED" w:rsidRDefault="00BE3CED" w:rsidP="005E0DA7">
      <w:pPr>
        <w:rPr>
          <w:rFonts w:asciiTheme="minorHAnsi" w:hAnsiTheme="minorHAnsi" w:cstheme="minorHAnsi"/>
          <w:b/>
          <w:bCs/>
          <w:sz w:val="28"/>
          <w:szCs w:val="28"/>
        </w:rPr>
      </w:pPr>
    </w:p>
    <w:p w14:paraId="68340F78" w14:textId="77777777" w:rsidR="002D5539" w:rsidRPr="002D5539" w:rsidRDefault="002D5539" w:rsidP="002D5539">
      <w:pPr>
        <w:rPr>
          <w:rFonts w:asciiTheme="minorHAnsi" w:hAnsiTheme="minorHAnsi" w:cstheme="minorHAnsi"/>
          <w:b/>
          <w:bCs/>
          <w:sz w:val="28"/>
          <w:szCs w:val="28"/>
        </w:rPr>
      </w:pPr>
      <w:r w:rsidRPr="002D5539">
        <w:rPr>
          <w:rFonts w:asciiTheme="minorHAnsi" w:hAnsiTheme="minorHAnsi" w:cstheme="minorHAnsi"/>
          <w:b/>
          <w:bCs/>
          <w:sz w:val="28"/>
          <w:szCs w:val="28"/>
        </w:rPr>
        <w:t>Syllabi Statements Spring 2021 - COVID-19 Specific</w:t>
      </w:r>
    </w:p>
    <w:p w14:paraId="304254A6" w14:textId="77777777" w:rsidR="002D5539" w:rsidRDefault="002D5539" w:rsidP="002D5539">
      <w:pPr>
        <w:rPr>
          <w:rFonts w:asciiTheme="minorHAnsi" w:hAnsiTheme="minorHAnsi" w:cstheme="minorHAnsi"/>
        </w:rPr>
      </w:pPr>
    </w:p>
    <w:p w14:paraId="7BB626EA" w14:textId="77777777" w:rsidR="002D5539" w:rsidRDefault="002D5539" w:rsidP="002D5539">
      <w:pPr>
        <w:rPr>
          <w:rFonts w:asciiTheme="minorHAnsi" w:hAnsiTheme="minorHAnsi" w:cstheme="minorHAnsi"/>
        </w:rPr>
      </w:pPr>
      <w:r>
        <w:rPr>
          <w:rFonts w:asciiTheme="minorHAnsi" w:hAnsiTheme="minorHAnsi" w:cstheme="minorHAnsi"/>
          <w:b/>
        </w:rPr>
        <w:t>Conversion of Onsite Classes to Online/Remote Format:</w:t>
      </w:r>
      <w:r>
        <w:rPr>
          <w:rFonts w:asciiTheme="minorHAnsi" w:hAnsiTheme="minorHAnsi" w:cstheme="minorHAnsi"/>
        </w:rPr>
        <w:t xml:space="preserve"> North Central Texas College students should be aware that in the event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 as conditions change.</w:t>
      </w:r>
    </w:p>
    <w:p w14:paraId="15FFCB35" w14:textId="77777777" w:rsidR="002D5539" w:rsidRDefault="002D5539" w:rsidP="002D5539">
      <w:pPr>
        <w:rPr>
          <w:rFonts w:asciiTheme="minorHAnsi" w:hAnsiTheme="minorHAnsi" w:cstheme="minorHAnsi"/>
        </w:rPr>
      </w:pPr>
    </w:p>
    <w:p w14:paraId="11236ED2" w14:textId="77777777" w:rsidR="002D5539" w:rsidRDefault="002D5539" w:rsidP="002D5539">
      <w:pPr>
        <w:rPr>
          <w:rFonts w:asciiTheme="minorHAnsi" w:hAnsiTheme="minorHAnsi" w:cstheme="minorHAnsi"/>
        </w:rPr>
      </w:pPr>
      <w:r>
        <w:rPr>
          <w:rFonts w:asciiTheme="minorHAnsi" w:hAnsiTheme="minorHAnsi" w:cstheme="minorHAnsi"/>
          <w:b/>
        </w:rPr>
        <w:t>Face Coverings:</w:t>
      </w:r>
      <w:r>
        <w:rPr>
          <w:rFonts w:asciiTheme="minorHAnsi" w:hAnsiTheme="minorHAnsi" w:cstheme="minorHAnsi"/>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8" w:history="1">
        <w:r>
          <w:rPr>
            <w:rStyle w:val="Hyperlink"/>
            <w:rFonts w:asciiTheme="minorHAnsi" w:hAnsiTheme="minorHAnsi" w:cstheme="minorHAnsi"/>
          </w:rPr>
          <w:t>ccove@nctc.edu</w:t>
        </w:r>
      </w:hyperlink>
      <w:r>
        <w:rPr>
          <w:rFonts w:asciiTheme="minorHAnsi" w:hAnsiTheme="minorHAnsi" w:cstheme="minorHAnsi"/>
        </w:rPr>
        <w:t>).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w:t>
      </w:r>
    </w:p>
    <w:p w14:paraId="175F3B78" w14:textId="77777777" w:rsidR="002D5539" w:rsidRDefault="002D5539" w:rsidP="002D5539">
      <w:pPr>
        <w:rPr>
          <w:rFonts w:asciiTheme="minorHAnsi" w:hAnsiTheme="minorHAnsi" w:cstheme="minorHAnsi"/>
        </w:rPr>
      </w:pPr>
    </w:p>
    <w:p w14:paraId="3B792184" w14:textId="77777777" w:rsidR="002D5539" w:rsidRDefault="002D5539" w:rsidP="002D5539">
      <w:pPr>
        <w:rPr>
          <w:rFonts w:asciiTheme="minorHAnsi" w:hAnsiTheme="minorHAnsi" w:cstheme="minorHAnsi"/>
        </w:rPr>
      </w:pPr>
      <w:r>
        <w:rPr>
          <w:rFonts w:asciiTheme="minorHAnsi" w:hAnsiTheme="minorHAnsi" w:cstheme="minorHAnsi"/>
          <w:b/>
        </w:rPr>
        <w:lastRenderedPageBreak/>
        <w:t>Temporary COVID-19 Attendance Policy for Face-to-Face Meetings:</w:t>
      </w:r>
      <w:r>
        <w:rPr>
          <w:rFonts w:asciiTheme="minorHAnsi" w:hAnsiTheme="minorHAnsi" w:cstheme="minorHAnsi"/>
        </w:rPr>
        <w:t xml:space="preserve"> We are facing an unprecedented situation in which all of us must be flexible and make prudent decisions in the best interest of our families, our campus, and our community. In light of this, North Central Texas College is temporarily establishing the requirement that faculty </w:t>
      </w:r>
      <w:r>
        <w:rPr>
          <w:rFonts w:asciiTheme="minorHAnsi" w:hAnsiTheme="minorHAnsi" w:cstheme="minorHAnsi"/>
          <w:u w:val="single"/>
        </w:rPr>
        <w:t>keep records of student attendance for face-to-face course meetings as well as a documented seating chart</w:t>
      </w:r>
      <w:r>
        <w:rPr>
          <w:rFonts w:asciiTheme="minorHAnsi" w:hAnsiTheme="minorHAnsi" w:cstheme="minorHAnsi"/>
        </w:rPr>
        <w:t xml:space="preserve">.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3107A443" w14:textId="77777777" w:rsidR="002D5539" w:rsidRDefault="002D5539" w:rsidP="002D5539">
      <w:pPr>
        <w:rPr>
          <w:rFonts w:asciiTheme="minorHAnsi" w:hAnsiTheme="minorHAnsi" w:cstheme="minorHAnsi"/>
        </w:rPr>
      </w:pPr>
    </w:p>
    <w:p w14:paraId="0D3579FB" w14:textId="77777777" w:rsidR="002D5539" w:rsidRDefault="002D5539" w:rsidP="002D5539">
      <w:pPr>
        <w:rPr>
          <w:rFonts w:asciiTheme="minorHAnsi" w:hAnsiTheme="minorHAnsi" w:cstheme="minorHAnsi"/>
          <w:b/>
        </w:rPr>
      </w:pPr>
      <w:r>
        <w:rPr>
          <w:rFonts w:asciiTheme="minorHAnsi" w:hAnsiTheme="minorHAnsi" w:cstheme="minorHAnsi"/>
          <w:b/>
        </w:rPr>
        <w:t xml:space="preserve">Faculty will: </w:t>
      </w:r>
    </w:p>
    <w:p w14:paraId="57954B47" w14:textId="77777777" w:rsidR="002D5539" w:rsidRDefault="002D5539" w:rsidP="002D5539">
      <w:pPr>
        <w:rPr>
          <w:rFonts w:asciiTheme="minorHAnsi" w:hAnsiTheme="minorHAnsi" w:cstheme="minorHAnsi"/>
        </w:rPr>
      </w:pPr>
    </w:p>
    <w:p w14:paraId="1575CC5F" w14:textId="77777777" w:rsidR="002D5539" w:rsidRDefault="002D5539" w:rsidP="002D5539">
      <w:pPr>
        <w:pStyle w:val="ListParagraph"/>
        <w:numPr>
          <w:ilvl w:val="0"/>
          <w:numId w:val="20"/>
        </w:numPr>
        <w:rPr>
          <w:rFonts w:asciiTheme="minorHAnsi" w:hAnsiTheme="minorHAnsi" w:cstheme="minorHAnsi"/>
        </w:rPr>
      </w:pPr>
      <w:r>
        <w:rPr>
          <w:rFonts w:asciiTheme="minorHAnsi" w:hAnsiTheme="minorHAnsi" w:cstheme="minorHAnsi"/>
        </w:rPr>
        <w:t>Notify students about important course information and delivery changes through Canvas and campus email.</w:t>
      </w:r>
    </w:p>
    <w:p w14:paraId="632E095D" w14:textId="77777777" w:rsidR="002D5539" w:rsidRDefault="002D5539" w:rsidP="002D5539">
      <w:pPr>
        <w:rPr>
          <w:rFonts w:asciiTheme="minorHAnsi" w:hAnsiTheme="minorHAnsi" w:cstheme="minorHAnsi"/>
        </w:rPr>
      </w:pPr>
    </w:p>
    <w:p w14:paraId="782A1F1B" w14:textId="77777777" w:rsidR="002D5539" w:rsidRDefault="002D5539" w:rsidP="002D5539">
      <w:pPr>
        <w:rPr>
          <w:rFonts w:asciiTheme="minorHAnsi" w:hAnsiTheme="minorHAnsi" w:cstheme="minorHAnsi"/>
          <w:b/>
        </w:rPr>
      </w:pPr>
      <w:r>
        <w:rPr>
          <w:rFonts w:asciiTheme="minorHAnsi" w:hAnsiTheme="minorHAnsi" w:cstheme="minorHAnsi"/>
          <w:b/>
        </w:rPr>
        <w:t xml:space="preserve">Students should: </w:t>
      </w:r>
    </w:p>
    <w:p w14:paraId="02F84559" w14:textId="77777777" w:rsidR="002D5539" w:rsidRDefault="002D5539" w:rsidP="002D5539">
      <w:pPr>
        <w:pStyle w:val="ListParagraph"/>
        <w:numPr>
          <w:ilvl w:val="0"/>
          <w:numId w:val="20"/>
        </w:numPr>
        <w:spacing w:after="160" w:line="254" w:lineRule="auto"/>
        <w:rPr>
          <w:rFonts w:asciiTheme="minorHAnsi" w:hAnsiTheme="minorHAnsi" w:cstheme="minorHAnsi"/>
        </w:rPr>
      </w:pPr>
      <w:r>
        <w:rPr>
          <w:rFonts w:asciiTheme="minorHAnsi" w:hAnsiTheme="minorHAnsi" w:cstheme="minorHAnsi"/>
        </w:rPr>
        <w:t>Provide notification to campus officials (via NCTC Daily Health Check protocol through Canvas) if they have tested positive for COVID-19 or have to quarantine so we can confirm reported absence with instructors, monitor, and assist the campus community.</w:t>
      </w:r>
    </w:p>
    <w:p w14:paraId="09892899" w14:textId="77777777" w:rsidR="002D5539" w:rsidRDefault="002D5539" w:rsidP="002D5539">
      <w:pPr>
        <w:pStyle w:val="ListParagraph"/>
        <w:numPr>
          <w:ilvl w:val="0"/>
          <w:numId w:val="20"/>
        </w:numPr>
        <w:spacing w:after="160" w:line="254" w:lineRule="auto"/>
        <w:rPr>
          <w:rFonts w:asciiTheme="minorHAnsi" w:hAnsiTheme="minorHAnsi" w:cstheme="minorHAnsi"/>
        </w:rPr>
      </w:pPr>
      <w:r>
        <w:rPr>
          <w:rFonts w:asciiTheme="minorHAnsi" w:hAnsiTheme="minorHAnsi" w:cstheme="minorHAnsi"/>
        </w:rPr>
        <w:t xml:space="preserve">Notify instructors in advance of the absence. </w:t>
      </w:r>
    </w:p>
    <w:p w14:paraId="6DE73113" w14:textId="77777777" w:rsidR="002D5539" w:rsidRDefault="002D5539" w:rsidP="002D5539">
      <w:pPr>
        <w:pStyle w:val="ListParagraph"/>
        <w:numPr>
          <w:ilvl w:val="0"/>
          <w:numId w:val="20"/>
        </w:numPr>
        <w:spacing w:after="160" w:line="254" w:lineRule="auto"/>
        <w:rPr>
          <w:rFonts w:asciiTheme="minorHAnsi" w:hAnsiTheme="minorHAnsi" w:cstheme="minorHAnsi"/>
        </w:rPr>
      </w:pPr>
      <w:r>
        <w:rPr>
          <w:rFonts w:asciiTheme="minorHAnsi" w:hAnsiTheme="minorHAnsi" w:cstheme="minorHAnsi"/>
        </w:rPr>
        <w:t xml:space="preserve">Connect with that class through </w:t>
      </w:r>
      <w:proofErr w:type="spellStart"/>
      <w:r>
        <w:rPr>
          <w:rFonts w:asciiTheme="minorHAnsi" w:hAnsiTheme="minorHAnsi" w:cstheme="minorHAnsi"/>
        </w:rPr>
        <w:t>Webex</w:t>
      </w:r>
      <w:proofErr w:type="spellEnd"/>
      <w:r>
        <w:rPr>
          <w:rFonts w:asciiTheme="minorHAnsi" w:hAnsiTheme="minorHAnsi" w:cstheme="minorHAnsi"/>
        </w:rPr>
        <w:t xml:space="preserve"> if the class session is being transmitted in a hybrid fashion.</w:t>
      </w:r>
    </w:p>
    <w:p w14:paraId="59529F47" w14:textId="77777777" w:rsidR="002D5539" w:rsidRDefault="002D5539" w:rsidP="002D5539">
      <w:pPr>
        <w:pStyle w:val="ListParagraph"/>
        <w:numPr>
          <w:ilvl w:val="0"/>
          <w:numId w:val="20"/>
        </w:numPr>
        <w:spacing w:after="160" w:line="254" w:lineRule="auto"/>
        <w:rPr>
          <w:rFonts w:asciiTheme="minorHAnsi" w:hAnsiTheme="minorHAnsi" w:cstheme="minorHAnsi"/>
        </w:rPr>
      </w:pPr>
      <w:r>
        <w:rPr>
          <w:rFonts w:asciiTheme="minorHAnsi" w:hAnsiTheme="minorHAnsi" w:cstheme="minorHAnsi"/>
        </w:rPr>
        <w:t>Keep up with and/or make up missed classwork or assignments.</w:t>
      </w:r>
    </w:p>
    <w:p w14:paraId="51B53B63" w14:textId="77777777" w:rsidR="002D5539" w:rsidRDefault="002D5539" w:rsidP="002D5539">
      <w:pPr>
        <w:pStyle w:val="ListParagraph"/>
        <w:numPr>
          <w:ilvl w:val="0"/>
          <w:numId w:val="20"/>
        </w:numPr>
        <w:spacing w:after="160" w:line="254" w:lineRule="auto"/>
        <w:rPr>
          <w:rFonts w:asciiTheme="minorHAnsi" w:hAnsiTheme="minorHAnsi" w:cstheme="minorHAnsi"/>
        </w:rPr>
      </w:pPr>
      <w:r>
        <w:rPr>
          <w:rFonts w:asciiTheme="minorHAnsi" w:hAnsiTheme="minorHAnsi" w:cstheme="minorHAnsi"/>
        </w:rPr>
        <w:t>Submit assignments digitally through Canvas or other means as announced by your instructor.</w:t>
      </w:r>
    </w:p>
    <w:p w14:paraId="30B42194" w14:textId="77777777" w:rsidR="002D5539" w:rsidRDefault="002D5539" w:rsidP="002D5539">
      <w:pPr>
        <w:pStyle w:val="ListParagraph"/>
        <w:numPr>
          <w:ilvl w:val="0"/>
          <w:numId w:val="20"/>
        </w:numPr>
        <w:spacing w:after="160" w:line="254" w:lineRule="auto"/>
        <w:rPr>
          <w:rFonts w:asciiTheme="minorHAnsi" w:hAnsiTheme="minorHAnsi" w:cstheme="minorHAnsi"/>
        </w:rPr>
      </w:pPr>
      <w:r>
        <w:rPr>
          <w:rFonts w:asciiTheme="minorHAnsi" w:hAnsiTheme="minorHAnsi" w:cstheme="minorHAnsi"/>
        </w:rPr>
        <w:t>Work with their instructors to reschedule exams, labs, and other critical academic activities described in the course syllabus.</w:t>
      </w:r>
    </w:p>
    <w:p w14:paraId="0978F1BA" w14:textId="77777777" w:rsidR="002D5539" w:rsidRDefault="002D5539" w:rsidP="002D5539">
      <w:pPr>
        <w:pStyle w:val="ListParagraph"/>
        <w:numPr>
          <w:ilvl w:val="0"/>
          <w:numId w:val="20"/>
        </w:numPr>
        <w:spacing w:after="160" w:line="254" w:lineRule="auto"/>
        <w:rPr>
          <w:rFonts w:asciiTheme="minorHAnsi" w:hAnsiTheme="minorHAnsi" w:cstheme="minorHAnsi"/>
        </w:rPr>
      </w:pPr>
      <w:r>
        <w:rPr>
          <w:rFonts w:asciiTheme="minorHAnsi" w:hAnsiTheme="minorHAnsi" w:cstheme="minorHAnsi"/>
        </w:rPr>
        <w:t>Check Canvas and campus email daily to receive important announcements pertaining to the course.</w:t>
      </w:r>
    </w:p>
    <w:p w14:paraId="7FDE2091" w14:textId="77777777" w:rsidR="002D5539" w:rsidRDefault="002D5539" w:rsidP="002D5539">
      <w:pPr>
        <w:rPr>
          <w:rFonts w:asciiTheme="minorHAnsi" w:hAnsiTheme="minorHAnsi" w:cstheme="minorHAnsi"/>
        </w:rPr>
      </w:pPr>
      <w:r>
        <w:rPr>
          <w:rFonts w:asciiTheme="minorHAnsi" w:hAnsiTheme="minorHAnsi" w:cstheme="minorHAnsi"/>
        </w:rPr>
        <w:t xml:space="preserve">During the spring 2021 semester,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07945D21" w14:textId="77777777" w:rsidR="002D5539" w:rsidRDefault="002D5539" w:rsidP="002D5539">
      <w:pPr>
        <w:rPr>
          <w:rFonts w:asciiTheme="minorHAnsi" w:hAnsiTheme="minorHAnsi" w:cstheme="minorHAnsi"/>
        </w:rPr>
      </w:pPr>
      <w:r>
        <w:rPr>
          <w:rFonts w:asciiTheme="minorHAnsi" w:hAnsiTheme="minorHAnsi" w:cstheme="minorHAnsi"/>
        </w:rPr>
        <w:t xml:space="preserve">Additional NCTC information is available at </w:t>
      </w:r>
      <w:hyperlink r:id="rId9" w:history="1">
        <w:r>
          <w:rPr>
            <w:rStyle w:val="Hyperlink"/>
            <w:rFonts w:asciiTheme="minorHAnsi" w:hAnsiTheme="minorHAnsi" w:cstheme="minorHAnsi"/>
          </w:rPr>
          <w:t>http://www.nctc.edu/coronavirus/index.html</w:t>
        </w:r>
      </w:hyperlink>
    </w:p>
    <w:p w14:paraId="7B7CACAD" w14:textId="77777777" w:rsidR="002D5539" w:rsidRPr="00E570A9" w:rsidRDefault="002D5539"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w:t>
      </w:r>
      <w:r w:rsidRPr="004D5A49">
        <w:rPr>
          <w:rFonts w:asciiTheme="minorHAnsi" w:hAnsiTheme="minorHAnsi"/>
        </w:rPr>
        <w:lastRenderedPageBreak/>
        <w:t>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41F9C39C"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6875C3">
        <w:rPr>
          <w:rFonts w:asciiTheme="minorHAnsi" w:hAnsiTheme="minorHAnsi"/>
          <w:u w:val="single"/>
        </w:rPr>
        <w:t>April 5</w:t>
      </w:r>
      <w:r w:rsidR="006875C3" w:rsidRPr="006875C3">
        <w:rPr>
          <w:rFonts w:asciiTheme="minorHAnsi" w:hAnsiTheme="minorHAnsi"/>
          <w:u w:val="single"/>
          <w:vertAlign w:val="superscript"/>
        </w:rPr>
        <w:t>th</w:t>
      </w:r>
      <w:r w:rsidR="006875C3">
        <w:rPr>
          <w:rFonts w:asciiTheme="minorHAnsi" w:hAnsiTheme="minorHAnsi"/>
          <w:u w:val="single"/>
        </w:rPr>
        <w:t>, 2021</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1D25FB3E" w14:textId="77777777" w:rsidR="00BD70F0" w:rsidRPr="0028594D" w:rsidRDefault="00BD70F0" w:rsidP="00BD70F0">
      <w:pPr>
        <w:rPr>
          <w:rFonts w:asciiTheme="minorHAnsi" w:hAnsiTheme="minorHAnsi" w:cstheme="minorHAnsi"/>
          <w:b/>
          <w:smallCaps/>
          <w:sz w:val="32"/>
          <w:szCs w:val="32"/>
          <w:u w:val="single"/>
        </w:rPr>
      </w:pPr>
      <w:hyperlink r:id="rId10" w:history="1">
        <w:r w:rsidRPr="0028594D">
          <w:rPr>
            <w:rStyle w:val="Hyperlink"/>
            <w:rFonts w:asciiTheme="minorHAnsi" w:hAnsiTheme="minorHAnsi" w:cstheme="minorHAnsi"/>
            <w:b/>
            <w:smallCaps/>
            <w:sz w:val="32"/>
            <w:szCs w:val="32"/>
          </w:rPr>
          <w:t>Affinity Groups</w:t>
        </w:r>
      </w:hyperlink>
    </w:p>
    <w:p w14:paraId="55243949"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Staff and faculty representing the Employee Resource Groups (ERG’s), along with academic advisors, counselors and success coaches, serve as mentors for NCTC’s student-centered ​Affinity Groups​.</w:t>
      </w:r>
    </w:p>
    <w:p w14:paraId="69B69576" w14:textId="77777777" w:rsidR="00BD70F0"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1C90B7F2" w14:textId="77777777" w:rsidR="00BD70F0" w:rsidRPr="0057744A" w:rsidRDefault="00BD70F0" w:rsidP="00BD70F0">
      <w:pPr>
        <w:rPr>
          <w:rStyle w:val="Hyperlink"/>
          <w:rFonts w:asciiTheme="minorHAnsi" w:hAnsiTheme="minorHAnsi" w:cstheme="minorHAnsi"/>
          <w:b/>
          <w:smallCaps/>
          <w:color w:val="auto"/>
          <w:sz w:val="16"/>
          <w:szCs w:val="16"/>
        </w:rPr>
      </w:pPr>
    </w:p>
    <w:p w14:paraId="76ED7DDA" w14:textId="77777777" w:rsidR="00BD70F0" w:rsidRPr="0028594D" w:rsidRDefault="00BD70F0" w:rsidP="00BD70F0">
      <w:pPr>
        <w:rPr>
          <w:rStyle w:val="Hyperlink"/>
          <w:rFonts w:asciiTheme="minorHAnsi" w:hAnsiTheme="minorHAnsi" w:cstheme="minorHAnsi"/>
          <w:b/>
          <w:smallCaps/>
          <w:color w:val="auto"/>
          <w:sz w:val="32"/>
          <w:szCs w:val="32"/>
        </w:rPr>
      </w:pPr>
      <w:hyperlink r:id="rId11" w:history="1">
        <w:r w:rsidRPr="0057744A">
          <w:rPr>
            <w:rStyle w:val="Hyperlink"/>
            <w:rFonts w:asciiTheme="minorHAnsi" w:hAnsiTheme="minorHAnsi" w:cstheme="minorHAnsi"/>
            <w:b/>
            <w:smallCaps/>
            <w:sz w:val="32"/>
            <w:szCs w:val="32"/>
          </w:rPr>
          <w:t>Career Services Center</w:t>
        </w:r>
      </w:hyperlink>
    </w:p>
    <w:p w14:paraId="10020437" w14:textId="77777777" w:rsidR="00BD70F0" w:rsidRPr="0028594D" w:rsidRDefault="00BD70F0" w:rsidP="00BD70F0">
      <w:pPr>
        <w:rPr>
          <w:rStyle w:val="Hyperlink"/>
          <w:rFonts w:asciiTheme="minorHAnsi" w:hAnsiTheme="minorHAnsi" w:cstheme="minorHAnsi"/>
          <w:sz w:val="22"/>
          <w:szCs w:val="22"/>
        </w:rPr>
      </w:pPr>
      <w:r w:rsidRPr="0028594D">
        <w:rPr>
          <w:rStyle w:val="Hyperlink"/>
          <w:rFonts w:asciiTheme="minorHAnsi" w:hAnsiTheme="minorHAnsi" w:cstheme="minorHAnsi"/>
          <w:color w:val="auto"/>
          <w:sz w:val="22"/>
          <w:szCs w:val="22"/>
          <w:u w:val="none"/>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28594D">
        <w:rPr>
          <w:rStyle w:val="Hyperlink"/>
          <w:rFonts w:asciiTheme="minorHAnsi" w:hAnsiTheme="minorHAnsi" w:cstheme="minorHAnsi"/>
          <w:color w:val="auto"/>
          <w:sz w:val="22"/>
          <w:szCs w:val="22"/>
        </w:rPr>
        <w:t xml:space="preserve"> </w:t>
      </w:r>
    </w:p>
    <w:p w14:paraId="38687ABD" w14:textId="77777777" w:rsidR="00BD70F0" w:rsidRPr="0057744A" w:rsidRDefault="00BD70F0" w:rsidP="00BD70F0">
      <w:pPr>
        <w:rPr>
          <w:rFonts w:asciiTheme="minorHAnsi" w:hAnsiTheme="minorHAnsi" w:cstheme="minorHAnsi"/>
          <w:b/>
          <w:smallCaps/>
          <w:sz w:val="16"/>
          <w:szCs w:val="16"/>
          <w:u w:val="single"/>
        </w:rPr>
      </w:pPr>
    </w:p>
    <w:p w14:paraId="1B396673" w14:textId="77777777" w:rsidR="00BD70F0" w:rsidRPr="0028594D" w:rsidRDefault="00BD70F0" w:rsidP="00BD70F0">
      <w:pPr>
        <w:rPr>
          <w:rFonts w:asciiTheme="minorHAnsi" w:hAnsiTheme="minorHAnsi" w:cstheme="minorHAnsi"/>
          <w:b/>
          <w:smallCaps/>
          <w:sz w:val="32"/>
          <w:szCs w:val="32"/>
          <w:u w:val="single"/>
        </w:rPr>
      </w:pPr>
      <w:hyperlink r:id="rId12" w:history="1">
        <w:r w:rsidRPr="0028594D">
          <w:rPr>
            <w:rStyle w:val="Hyperlink"/>
            <w:rFonts w:asciiTheme="minorHAnsi" w:hAnsiTheme="minorHAnsi" w:cstheme="minorHAnsi"/>
            <w:b/>
            <w:smallCaps/>
            <w:sz w:val="32"/>
            <w:szCs w:val="32"/>
          </w:rPr>
          <w:t>Completion Center</w:t>
        </w:r>
      </w:hyperlink>
    </w:p>
    <w:p w14:paraId="041C0FB0" w14:textId="77777777" w:rsidR="00BD70F0" w:rsidRDefault="00BD70F0" w:rsidP="00BD70F0">
      <w:pPr>
        <w:rPr>
          <w:rFonts w:asciiTheme="minorHAnsi" w:hAnsiTheme="minorHAnsi" w:cstheme="minorHAnsi"/>
          <w:color w:val="404041"/>
          <w:sz w:val="22"/>
          <w:szCs w:val="22"/>
          <w:shd w:val="clear" w:color="auto" w:fill="FFFFFF"/>
        </w:rPr>
      </w:pPr>
      <w:r w:rsidRPr="0028594D">
        <w:rPr>
          <w:rFonts w:asciiTheme="minorHAnsi" w:hAnsiTheme="minorHAnsi" w:cstheme="minorHAnsi"/>
          <w:color w:val="404041"/>
          <w:sz w:val="22"/>
          <w:szCs w:val="22"/>
          <w:shd w:val="clear" w:color="auto" w:fill="FFFFFF"/>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13" w:tgtFrame="_blank" w:tooltip="Student Lingo for NCTC" w:history="1">
        <w:r w:rsidRPr="0028594D">
          <w:rPr>
            <w:rStyle w:val="Hyperlink"/>
            <w:rFonts w:asciiTheme="minorHAnsi" w:hAnsiTheme="minorHAnsi" w:cstheme="minorHAnsi"/>
            <w:color w:val="833F4A"/>
            <w:sz w:val="22"/>
            <w:szCs w:val="22"/>
            <w:shd w:val="clear" w:color="auto" w:fill="FFFFFF"/>
          </w:rPr>
          <w:t>Student Lingo</w:t>
        </w:r>
      </w:hyperlink>
      <w:r w:rsidRPr="0028594D">
        <w:rPr>
          <w:rFonts w:asciiTheme="minorHAnsi" w:hAnsiTheme="minorHAnsi" w:cstheme="minorHAnsi"/>
          <w:color w:val="404041"/>
          <w:sz w:val="22"/>
          <w:szCs w:val="22"/>
          <w:shd w:val="clear" w:color="auto" w:fill="FFFFFF"/>
        </w:rPr>
        <w:t> and new students will also enroll in a First Year Experience (NCTC 1001) course to get started on the right track!</w:t>
      </w:r>
      <w:r>
        <w:rPr>
          <w:rFonts w:asciiTheme="minorHAnsi" w:hAnsiTheme="minorHAnsi" w:cstheme="minorHAnsi"/>
          <w:color w:val="404041"/>
          <w:sz w:val="22"/>
          <w:szCs w:val="22"/>
          <w:shd w:val="clear" w:color="auto" w:fill="FFFFFF"/>
        </w:rPr>
        <w:t xml:space="preserve"> </w:t>
      </w:r>
    </w:p>
    <w:p w14:paraId="3C7C07C0" w14:textId="77777777" w:rsidR="00BD70F0" w:rsidRDefault="00BD70F0" w:rsidP="00BD70F0">
      <w:pPr>
        <w:rPr>
          <w:rStyle w:val="Hyperlink"/>
          <w:rFonts w:asciiTheme="minorHAnsi" w:hAnsiTheme="minorHAnsi" w:cstheme="minorHAnsi"/>
          <w:sz w:val="16"/>
          <w:szCs w:val="16"/>
        </w:rPr>
      </w:pPr>
    </w:p>
    <w:p w14:paraId="7D422C89" w14:textId="77777777" w:rsidR="00BD70F0" w:rsidRPr="0028594D" w:rsidRDefault="00BD70F0" w:rsidP="00BD70F0">
      <w:pPr>
        <w:rPr>
          <w:rStyle w:val="Hyperlink"/>
          <w:rFonts w:asciiTheme="minorHAnsi" w:hAnsiTheme="minorHAnsi" w:cstheme="minorHAnsi"/>
          <w:b/>
          <w:smallCaps/>
          <w:color w:val="auto"/>
          <w:sz w:val="32"/>
          <w:szCs w:val="32"/>
        </w:rPr>
      </w:pPr>
      <w:hyperlink r:id="rId14" w:history="1">
        <w:r w:rsidRPr="0057744A">
          <w:rPr>
            <w:rStyle w:val="Hyperlink"/>
            <w:rFonts w:asciiTheme="minorHAnsi" w:hAnsiTheme="minorHAnsi" w:cstheme="minorHAnsi"/>
            <w:b/>
            <w:smallCaps/>
            <w:sz w:val="32"/>
            <w:szCs w:val="32"/>
          </w:rPr>
          <w:t>Counseling and Advising</w:t>
        </w:r>
      </w:hyperlink>
    </w:p>
    <w:p w14:paraId="6EB3712A" w14:textId="77777777" w:rsidR="00BD70F0" w:rsidRDefault="00BD70F0" w:rsidP="00BD70F0">
      <w:pPr>
        <w:rPr>
          <w:rStyle w:val="Strong"/>
          <w:rFonts w:asciiTheme="minorHAnsi" w:hAnsiTheme="minorHAnsi" w:cstheme="minorHAnsi"/>
          <w:b w:val="0"/>
          <w:color w:val="404041"/>
          <w:sz w:val="22"/>
          <w:szCs w:val="22"/>
          <w:shd w:val="clear" w:color="auto" w:fill="FFFFFF"/>
        </w:rPr>
      </w:pPr>
      <w:r w:rsidRPr="0028594D">
        <w:rPr>
          <w:rStyle w:val="Hyperlink"/>
          <w:rFonts w:asciiTheme="minorHAnsi" w:hAnsiTheme="minorHAnsi" w:cstheme="minorHAnsi"/>
          <w:color w:val="auto"/>
          <w:sz w:val="22"/>
          <w:szCs w:val="22"/>
          <w:u w:val="none"/>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w:t>
      </w:r>
      <w:r w:rsidRPr="0028594D">
        <w:rPr>
          <w:rFonts w:asciiTheme="minorHAnsi" w:hAnsiTheme="minorHAnsi" w:cstheme="minorHAnsi"/>
          <w:color w:val="404041"/>
          <w:sz w:val="22"/>
          <w:szCs w:val="22"/>
          <w:shd w:val="clear" w:color="auto" w:fill="FFFFFF"/>
        </w:rPr>
        <w:t>At NCTC, you are assigned to a specific advisor or success coach based on your major or career interests. You can locate our advisors and their majors, along with </w:t>
      </w:r>
      <w:r w:rsidRPr="0028594D">
        <w:rPr>
          <w:rStyle w:val="Strong"/>
          <w:rFonts w:asciiTheme="minorHAnsi" w:hAnsiTheme="minorHAnsi" w:cstheme="minorHAnsi"/>
          <w:color w:val="404041"/>
          <w:sz w:val="22"/>
          <w:szCs w:val="22"/>
          <w:shd w:val="clear" w:color="auto" w:fill="FFFFFF"/>
        </w:rPr>
        <w:t>contact information on the Meet Your Advisor page</w:t>
      </w:r>
      <w:r>
        <w:rPr>
          <w:rStyle w:val="Strong"/>
          <w:rFonts w:asciiTheme="minorHAnsi" w:hAnsiTheme="minorHAnsi" w:cstheme="minorHAnsi"/>
          <w:color w:val="404041"/>
          <w:sz w:val="22"/>
          <w:szCs w:val="22"/>
          <w:shd w:val="clear" w:color="auto" w:fill="FFFFFF"/>
        </w:rPr>
        <w:t xml:space="preserve">-and even schedule an appointment with them through their online calendar! </w:t>
      </w:r>
    </w:p>
    <w:p w14:paraId="75093996" w14:textId="77777777" w:rsidR="00BD70F0" w:rsidRPr="0057744A" w:rsidRDefault="00BD70F0" w:rsidP="00BD70F0">
      <w:pPr>
        <w:rPr>
          <w:rStyle w:val="Hyperlink"/>
          <w:rFonts w:asciiTheme="minorHAnsi" w:hAnsiTheme="minorHAnsi" w:cstheme="minorHAnsi"/>
          <w:color w:val="auto"/>
          <w:sz w:val="16"/>
          <w:szCs w:val="16"/>
          <w:u w:val="none"/>
        </w:rPr>
      </w:pPr>
    </w:p>
    <w:p w14:paraId="7DF32DE5" w14:textId="77777777" w:rsidR="00BD70F0" w:rsidRPr="0028594D" w:rsidRDefault="00BD70F0" w:rsidP="00BD70F0">
      <w:pPr>
        <w:rPr>
          <w:rFonts w:asciiTheme="minorHAnsi" w:hAnsiTheme="minorHAnsi" w:cstheme="minorHAnsi"/>
          <w:b/>
          <w:smallCaps/>
          <w:sz w:val="32"/>
          <w:szCs w:val="32"/>
          <w:u w:val="single"/>
        </w:rPr>
      </w:pPr>
      <w:r w:rsidRPr="0028594D">
        <w:rPr>
          <w:rFonts w:asciiTheme="minorHAnsi" w:hAnsiTheme="minorHAnsi" w:cstheme="minorHAnsi"/>
          <w:b/>
          <w:smallCaps/>
          <w:sz w:val="32"/>
          <w:szCs w:val="32"/>
          <w:u w:val="single"/>
        </w:rPr>
        <w:t xml:space="preserve">Early Alert and </w:t>
      </w:r>
      <w:hyperlink r:id="rId15" w:history="1">
        <w:r w:rsidRPr="0057744A">
          <w:rPr>
            <w:rStyle w:val="Hyperlink"/>
            <w:rFonts w:asciiTheme="minorHAnsi" w:hAnsiTheme="minorHAnsi" w:cstheme="minorHAnsi"/>
            <w:b/>
            <w:smallCaps/>
            <w:sz w:val="32"/>
            <w:szCs w:val="32"/>
          </w:rPr>
          <w:t>CARES</w:t>
        </w:r>
      </w:hyperlink>
    </w:p>
    <w:p w14:paraId="75349483"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6" w:history="1">
        <w:r w:rsidRPr="0028594D">
          <w:rPr>
            <w:rStyle w:val="Hyperlink"/>
            <w:rFonts w:asciiTheme="minorHAnsi" w:hAnsiTheme="minorHAnsi" w:cstheme="minorHAnsi"/>
            <w:sz w:val="22"/>
            <w:szCs w:val="22"/>
          </w:rPr>
          <w:t>academic advisor or success coach</w:t>
        </w:r>
      </w:hyperlink>
      <w:r w:rsidRPr="0028594D">
        <w:rPr>
          <w:rFonts w:asciiTheme="minorHAnsi" w:hAnsiTheme="minorHAnsi" w:cstheme="minorHAnsi"/>
          <w:sz w:val="22"/>
          <w:szCs w:val="22"/>
        </w:rPr>
        <w:t xml:space="preserve"> through text, phone, and/or via their NCTC e-mail address to discuss any current challenges as well as helpful resources and success strategies-we want our students to finish strong and know that education is a partnership!</w:t>
      </w:r>
    </w:p>
    <w:p w14:paraId="7D325C33" w14:textId="77777777" w:rsidR="00BD70F0" w:rsidRPr="004377DF" w:rsidRDefault="00BD70F0" w:rsidP="00BD70F0">
      <w:pPr>
        <w:rPr>
          <w:rFonts w:asciiTheme="minorHAnsi" w:hAnsiTheme="minorHAnsi" w:cstheme="minorHAnsi"/>
          <w:sz w:val="16"/>
          <w:szCs w:val="16"/>
        </w:rPr>
      </w:pPr>
    </w:p>
    <w:p w14:paraId="1007FF0D"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lastRenderedPageBreak/>
        <w:t xml:space="preserve">The </w:t>
      </w:r>
      <w:hyperlink r:id="rId17" w:history="1">
        <w:r w:rsidRPr="0028594D">
          <w:rPr>
            <w:rStyle w:val="Hyperlink"/>
            <w:rFonts w:asciiTheme="minorHAnsi" w:hAnsiTheme="minorHAnsi" w:cstheme="minorHAnsi"/>
            <w:sz w:val="22"/>
            <w:szCs w:val="22"/>
          </w:rPr>
          <w:t>NCTC CARES Team</w:t>
        </w:r>
      </w:hyperlink>
      <w:r w:rsidRPr="0028594D">
        <w:rPr>
          <w:rFonts w:asciiTheme="minorHAnsi" w:hAnsiTheme="minorHAnsi" w:cstheme="minorHAnsi"/>
          <w:sz w:val="22"/>
          <w:szCs w:val="22"/>
        </w:rPr>
        <w:t xml:space="preserve"> is concerned not only about our students' academic success, but also their emotional and physical well-being. As a student, you have the ability to report concerning behavior which could impact your own safety or the safety of another NCTC student, such as stalking, harassment, physical or emotional abuse, violent or threatening behavior, or self-harm. Visit the NCTC CARES site to also locate </w:t>
      </w:r>
      <w:hyperlink r:id="rId18" w:history="1">
        <w:r w:rsidRPr="0057744A">
          <w:rPr>
            <w:rStyle w:val="Hyperlink"/>
            <w:rFonts w:asciiTheme="minorHAnsi" w:hAnsiTheme="minorHAnsi" w:cstheme="minorHAnsi"/>
            <w:sz w:val="22"/>
            <w:szCs w:val="22"/>
          </w:rPr>
          <w:t>campus and community resources</w:t>
        </w:r>
      </w:hyperlink>
      <w:r w:rsidRPr="0028594D">
        <w:rPr>
          <w:rFonts w:asciiTheme="minorHAnsi" w:hAnsiTheme="minorHAnsi" w:cstheme="minorHAnsi"/>
          <w:sz w:val="22"/>
          <w:szCs w:val="22"/>
        </w:rPr>
        <w:t xml:space="preserve">, or email </w:t>
      </w:r>
      <w:hyperlink r:id="rId19" w:history="1">
        <w:r w:rsidRPr="0028594D">
          <w:rPr>
            <w:rStyle w:val="Hyperlink"/>
            <w:rFonts w:asciiTheme="minorHAnsi" w:hAnsiTheme="minorHAnsi" w:cstheme="minorHAnsi"/>
            <w:sz w:val="22"/>
            <w:szCs w:val="22"/>
          </w:rPr>
          <w:t>counseling@nctc.edu</w:t>
        </w:r>
      </w:hyperlink>
      <w:r w:rsidRPr="0028594D">
        <w:rPr>
          <w:rFonts w:asciiTheme="minorHAnsi" w:hAnsiTheme="minorHAnsi" w:cstheme="minorHAnsi"/>
          <w:sz w:val="22"/>
          <w:szCs w:val="22"/>
        </w:rPr>
        <w:t>.  As always, if you feel there is an immediate threat to your own safety or welfare (or to another student), please call 911 immediately.</w:t>
      </w:r>
    </w:p>
    <w:p w14:paraId="1DD04634" w14:textId="77777777" w:rsidR="00BD70F0" w:rsidRPr="0057744A" w:rsidRDefault="00BD70F0" w:rsidP="00BD70F0">
      <w:pPr>
        <w:rPr>
          <w:rFonts w:asciiTheme="minorHAnsi" w:hAnsiTheme="minorHAnsi" w:cstheme="minorHAnsi"/>
          <w:b/>
          <w:sz w:val="16"/>
          <w:szCs w:val="16"/>
        </w:rPr>
      </w:pPr>
    </w:p>
    <w:p w14:paraId="5A22005F" w14:textId="77777777" w:rsidR="00BD70F0" w:rsidRPr="0028594D" w:rsidRDefault="00BD70F0" w:rsidP="00BD70F0">
      <w:pPr>
        <w:rPr>
          <w:rFonts w:asciiTheme="minorHAnsi" w:hAnsiTheme="minorHAnsi" w:cstheme="minorHAnsi"/>
          <w:b/>
          <w:smallCaps/>
          <w:sz w:val="32"/>
          <w:szCs w:val="32"/>
          <w:u w:val="single"/>
        </w:rPr>
      </w:pPr>
      <w:hyperlink r:id="rId20" w:history="1">
        <w:r w:rsidRPr="0057744A">
          <w:rPr>
            <w:rStyle w:val="Hyperlink"/>
            <w:rFonts w:asciiTheme="minorHAnsi" w:hAnsiTheme="minorHAnsi" w:cstheme="minorHAnsi"/>
            <w:b/>
            <w:smallCaps/>
            <w:sz w:val="32"/>
            <w:szCs w:val="32"/>
          </w:rPr>
          <w:t>Equity, Diversity and Inclusion (EDI)</w:t>
        </w:r>
      </w:hyperlink>
    </w:p>
    <w:p w14:paraId="6575214A" w14:textId="77777777" w:rsidR="00BD70F0" w:rsidRPr="0057744A" w:rsidRDefault="00BD70F0" w:rsidP="00BD70F0">
      <w:pPr>
        <w:rPr>
          <w:rFonts w:asciiTheme="minorHAnsi" w:hAnsiTheme="minorHAnsi" w:cstheme="minorHAnsi"/>
          <w:color w:val="000000" w:themeColor="text1"/>
          <w:sz w:val="22"/>
          <w:szCs w:val="22"/>
          <w:shd w:val="clear" w:color="auto" w:fill="FFFFFF"/>
        </w:rPr>
      </w:pPr>
      <w:r w:rsidRPr="0057744A">
        <w:rPr>
          <w:rFonts w:asciiTheme="minorHAnsi" w:hAnsiTheme="minorHAnsi" w:cstheme="minorHAnsi"/>
          <w:color w:val="000000" w:themeColor="text1"/>
          <w:sz w:val="22"/>
          <w:szCs w:val="22"/>
        </w:rPr>
        <w:t xml:space="preserve">EDI partners with the entire campus community to create, maintain and demonstrate NCTC’s commitment to an equitable, diverse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 </w:t>
      </w:r>
      <w:r w:rsidRPr="0057744A">
        <w:rPr>
          <w:rFonts w:asciiTheme="minorHAnsi" w:hAnsiTheme="minorHAnsi" w:cstheme="minorHAnsi"/>
          <w:color w:val="000000" w:themeColor="text1"/>
          <w:sz w:val="22"/>
          <w:szCs w:val="22"/>
          <w:shd w:val="clear" w:color="auto" w:fill="FFFFFF"/>
        </w:rPr>
        <w:t xml:space="preserve">Everyone Included. Everyone Belongs. Everyone Valued. Everyone Inspired.  </w:t>
      </w:r>
    </w:p>
    <w:p w14:paraId="598AF97C" w14:textId="77777777" w:rsidR="00BD70F0" w:rsidRPr="0057744A" w:rsidRDefault="00BD70F0" w:rsidP="00BD70F0">
      <w:pPr>
        <w:rPr>
          <w:rFonts w:asciiTheme="minorHAnsi" w:hAnsiTheme="minorHAnsi" w:cstheme="minorHAnsi"/>
          <w:b/>
          <w:smallCaps/>
          <w:sz w:val="16"/>
          <w:szCs w:val="16"/>
          <w:u w:val="single"/>
        </w:rPr>
      </w:pPr>
    </w:p>
    <w:p w14:paraId="4391EF93" w14:textId="77777777" w:rsidR="00BD70F0" w:rsidRPr="0028594D" w:rsidRDefault="00BD70F0" w:rsidP="00BD70F0">
      <w:pPr>
        <w:rPr>
          <w:rFonts w:asciiTheme="minorHAnsi" w:hAnsiTheme="minorHAnsi" w:cstheme="minorHAnsi"/>
          <w:b/>
          <w:smallCaps/>
          <w:sz w:val="32"/>
          <w:szCs w:val="32"/>
          <w:u w:val="single"/>
        </w:rPr>
      </w:pPr>
      <w:hyperlink r:id="rId21" w:history="1">
        <w:r w:rsidRPr="0057744A">
          <w:rPr>
            <w:rStyle w:val="Hyperlink"/>
            <w:rFonts w:asciiTheme="minorHAnsi" w:hAnsiTheme="minorHAnsi" w:cstheme="minorHAnsi"/>
            <w:b/>
            <w:smallCaps/>
            <w:sz w:val="32"/>
            <w:szCs w:val="32"/>
          </w:rPr>
          <w:t>Financial Aid</w:t>
        </w:r>
      </w:hyperlink>
      <w:r w:rsidRPr="0028594D">
        <w:rPr>
          <w:rFonts w:asciiTheme="minorHAnsi" w:hAnsiTheme="minorHAnsi" w:cstheme="minorHAnsi"/>
          <w:b/>
          <w:smallCaps/>
          <w:sz w:val="32"/>
          <w:szCs w:val="32"/>
          <w:u w:val="single"/>
        </w:rPr>
        <w:t xml:space="preserve"> </w:t>
      </w:r>
    </w:p>
    <w:p w14:paraId="50A0B8F6" w14:textId="77777777" w:rsidR="00BD70F0" w:rsidRPr="00762695" w:rsidRDefault="00BD70F0" w:rsidP="00BD70F0">
      <w:pPr>
        <w:rPr>
          <w:rFonts w:asciiTheme="minorHAnsi" w:hAnsiTheme="minorHAnsi" w:cstheme="minorHAnsi"/>
        </w:rPr>
      </w:pPr>
      <w:r w:rsidRPr="0028594D">
        <w:rPr>
          <w:rFonts w:asciiTheme="minorHAnsi" w:hAnsiTheme="minorHAnsi" w:cstheme="minorHAnsi"/>
          <w:sz w:val="22"/>
          <w:szCs w:val="22"/>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2" w:history="1">
        <w:r w:rsidRPr="0028594D">
          <w:rPr>
            <w:rStyle w:val="Hyperlink"/>
            <w:rFonts w:asciiTheme="minorHAnsi" w:hAnsiTheme="minorHAnsi" w:cstheme="minorHAnsi"/>
            <w:sz w:val="22"/>
            <w:szCs w:val="22"/>
          </w:rPr>
          <w:t>Scholarship Office</w:t>
        </w:r>
      </w:hyperlink>
      <w:r w:rsidRPr="0028594D">
        <w:rPr>
          <w:rFonts w:asciiTheme="minorHAnsi" w:hAnsiTheme="minorHAnsi" w:cstheme="minorHAnsi"/>
          <w:sz w:val="22"/>
          <w:szCs w:val="22"/>
        </w:rPr>
        <w:t xml:space="preserve"> provides local scholarship opportunities through an online application process, and tips on how to secure other types of scholarship awards which can help finance educational goals. </w:t>
      </w:r>
    </w:p>
    <w:p w14:paraId="40E4980C" w14:textId="77777777" w:rsidR="00BD70F0" w:rsidRPr="0057744A" w:rsidRDefault="00BD70F0" w:rsidP="00BD70F0">
      <w:pPr>
        <w:rPr>
          <w:rFonts w:asciiTheme="minorHAnsi" w:hAnsiTheme="minorHAnsi" w:cstheme="minorHAnsi"/>
          <w:b/>
          <w:smallCaps/>
          <w:sz w:val="16"/>
          <w:szCs w:val="16"/>
          <w:u w:val="single"/>
        </w:rPr>
      </w:pPr>
    </w:p>
    <w:p w14:paraId="1CA9E6AB" w14:textId="77777777" w:rsidR="00BD70F0" w:rsidRPr="0028594D" w:rsidRDefault="00BD70F0" w:rsidP="00BD70F0">
      <w:pPr>
        <w:rPr>
          <w:rFonts w:asciiTheme="minorHAnsi" w:hAnsiTheme="minorHAnsi" w:cstheme="minorHAnsi"/>
          <w:b/>
          <w:smallCaps/>
          <w:sz w:val="32"/>
          <w:szCs w:val="32"/>
          <w:u w:val="single"/>
        </w:rPr>
      </w:pPr>
      <w:hyperlink r:id="rId23" w:history="1">
        <w:r w:rsidRPr="0057744A">
          <w:rPr>
            <w:rStyle w:val="Hyperlink"/>
            <w:rFonts w:asciiTheme="minorHAnsi" w:hAnsiTheme="minorHAnsi" w:cstheme="minorHAnsi"/>
            <w:b/>
            <w:smallCaps/>
            <w:sz w:val="32"/>
            <w:szCs w:val="32"/>
          </w:rPr>
          <w:t>Student Success Center</w:t>
        </w:r>
      </w:hyperlink>
    </w:p>
    <w:p w14:paraId="3D02ED96"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4" w:history="1">
        <w:r w:rsidRPr="0057744A">
          <w:rPr>
            <w:rStyle w:val="Hyperlink"/>
            <w:rFonts w:asciiTheme="minorHAnsi" w:hAnsiTheme="minorHAnsi" w:cstheme="minorHAnsi"/>
            <w:sz w:val="22"/>
            <w:szCs w:val="22"/>
          </w:rPr>
          <w:t>TRIO</w:t>
        </w:r>
      </w:hyperlink>
      <w:r w:rsidRPr="0028594D">
        <w:rPr>
          <w:rFonts w:asciiTheme="minorHAnsi" w:hAnsiTheme="minorHAnsi" w:cstheme="minorHAnsi"/>
          <w:sz w:val="22"/>
          <w:szCs w:val="22"/>
        </w:rPr>
        <w:t xml:space="preserve"> which offers specialized services. </w:t>
      </w:r>
    </w:p>
    <w:p w14:paraId="34616790" w14:textId="77777777" w:rsidR="00BD70F0" w:rsidRPr="0057744A" w:rsidRDefault="00BD70F0" w:rsidP="00BD70F0">
      <w:pPr>
        <w:rPr>
          <w:rStyle w:val="Hyperlink"/>
          <w:rFonts w:asciiTheme="minorHAnsi" w:hAnsiTheme="minorHAnsi" w:cstheme="minorHAnsi"/>
          <w:b/>
          <w:smallCaps/>
          <w:color w:val="auto"/>
          <w:sz w:val="16"/>
          <w:szCs w:val="16"/>
        </w:rPr>
      </w:pPr>
    </w:p>
    <w:p w14:paraId="17CED183" w14:textId="77777777" w:rsidR="00BD70F0" w:rsidRPr="0028594D" w:rsidRDefault="00BD70F0" w:rsidP="00BD70F0">
      <w:pPr>
        <w:rPr>
          <w:rStyle w:val="Hyperlink"/>
          <w:rFonts w:asciiTheme="minorHAnsi" w:hAnsiTheme="minorHAnsi" w:cstheme="minorHAnsi"/>
          <w:b/>
          <w:smallCaps/>
          <w:color w:val="auto"/>
          <w:sz w:val="32"/>
          <w:szCs w:val="32"/>
        </w:rPr>
      </w:pPr>
      <w:hyperlink r:id="rId25" w:history="1">
        <w:r w:rsidRPr="0057744A">
          <w:rPr>
            <w:rStyle w:val="Hyperlink"/>
            <w:rFonts w:asciiTheme="minorHAnsi" w:hAnsiTheme="minorHAnsi" w:cstheme="minorHAnsi"/>
            <w:b/>
            <w:smallCaps/>
            <w:sz w:val="32"/>
            <w:szCs w:val="32"/>
          </w:rPr>
          <w:t>Testing Services</w:t>
        </w:r>
      </w:hyperlink>
      <w:r w:rsidRPr="0028594D">
        <w:rPr>
          <w:rStyle w:val="Hyperlink"/>
          <w:rFonts w:asciiTheme="minorHAnsi" w:hAnsiTheme="minorHAnsi" w:cstheme="minorHAnsi"/>
          <w:b/>
          <w:smallCaps/>
          <w:color w:val="auto"/>
          <w:sz w:val="32"/>
          <w:szCs w:val="32"/>
        </w:rPr>
        <w:t xml:space="preserve"> </w:t>
      </w:r>
    </w:p>
    <w:p w14:paraId="36688C6D" w14:textId="7C67A641" w:rsidR="00BD70F0"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The mission of NCTC Testing Services is to provide high-quality testing services that adhere to the professional standards and guidelines to meet the needs of students, faculty, and community members. </w:t>
      </w:r>
    </w:p>
    <w:p w14:paraId="2F620CA4" w14:textId="77777777" w:rsidR="00BD70F0" w:rsidRPr="00BD70F0" w:rsidRDefault="00BD70F0" w:rsidP="00BD70F0">
      <w:pPr>
        <w:rPr>
          <w:rFonts w:asciiTheme="minorHAnsi" w:hAnsiTheme="minorHAnsi" w:cstheme="minorHAnsi"/>
          <w:sz w:val="22"/>
          <w:szCs w:val="22"/>
        </w:rPr>
      </w:pP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 xml:space="preserve">(For classes in the </w:t>
      </w:r>
      <w:proofErr w:type="gramStart"/>
      <w:r w:rsidRPr="004D5A49">
        <w:rPr>
          <w:rFonts w:asciiTheme="minorHAnsi" w:hAnsiTheme="minorHAnsi"/>
          <w:u w:val="single"/>
        </w:rPr>
        <w:t>Core)_</w:t>
      </w:r>
      <w:proofErr w:type="gramEnd"/>
      <w:r w:rsidRPr="004D5A49">
        <w:rPr>
          <w:rFonts w:asciiTheme="minorHAnsi" w:hAnsiTheme="minorHAnsi"/>
          <w:u w:val="single"/>
        </w:rPr>
        <w:t>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08079855" w:rsidR="003B3BEE" w:rsidRPr="004D5A49" w:rsidRDefault="003B3BEE" w:rsidP="003B3BEE">
      <w:pPr>
        <w:pStyle w:val="NoSpacing"/>
        <w:rPr>
          <w:rFonts w:asciiTheme="minorHAnsi" w:hAnsiTheme="minorHAnsi"/>
        </w:rPr>
      </w:pPr>
      <w:r w:rsidRPr="004D5A49">
        <w:rPr>
          <w:rFonts w:asciiTheme="minorHAnsi" w:hAnsiTheme="minorHAnsi"/>
        </w:rPr>
        <w:tab/>
        <w:t>Communication</w:t>
      </w:r>
    </w:p>
    <w:p w14:paraId="69A71CA7" w14:textId="266B9E51" w:rsidR="003B3BEE" w:rsidRPr="004D5A49" w:rsidRDefault="003B3BEE" w:rsidP="003B3BEE">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09A54E10" w:rsidR="003B3BEE" w:rsidRPr="004D5A49" w:rsidRDefault="003B3BEE" w:rsidP="003B3BEE">
      <w:pPr>
        <w:pStyle w:val="NoSpacing"/>
        <w:rPr>
          <w:rFonts w:asciiTheme="minorHAnsi" w:hAnsiTheme="minorHAnsi"/>
        </w:rPr>
      </w:pPr>
      <w:r w:rsidRPr="004D5A49">
        <w:rPr>
          <w:rFonts w:asciiTheme="minorHAnsi" w:hAnsiTheme="minorHAnsi"/>
        </w:rPr>
        <w:tab/>
        <w:t>Language, Philosophy &amp; Culture</w:t>
      </w:r>
    </w:p>
    <w:p w14:paraId="448EA363" w14:textId="25B07DFA" w:rsidR="003B3BEE" w:rsidRPr="004D5A49" w:rsidRDefault="003B3BEE" w:rsidP="003B3BEE">
      <w:pPr>
        <w:pStyle w:val="NoSpacing"/>
        <w:rPr>
          <w:rFonts w:asciiTheme="minorHAnsi" w:hAnsiTheme="minorHAnsi"/>
        </w:rPr>
      </w:pPr>
      <w:r w:rsidRPr="004D5A49">
        <w:rPr>
          <w:rFonts w:asciiTheme="minorHAnsi" w:hAnsiTheme="minorHAnsi"/>
        </w:rPr>
        <w:tab/>
        <w:t>Creative Arts</w:t>
      </w:r>
    </w:p>
    <w:p w14:paraId="2F1EE349" w14:textId="7EDDA234" w:rsidR="003B3BEE" w:rsidRPr="004D5A49" w:rsidRDefault="003B3BEE" w:rsidP="003B3BEE">
      <w:pPr>
        <w:pStyle w:val="NoSpacing"/>
        <w:rPr>
          <w:rFonts w:asciiTheme="minorHAnsi" w:hAnsiTheme="minorHAnsi"/>
        </w:rPr>
      </w:pP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17A4A28C" w:rsidR="003B3BEE" w:rsidRPr="004D5A49" w:rsidRDefault="003B3BEE" w:rsidP="003B3BEE">
      <w:pPr>
        <w:pStyle w:val="NoSpacing"/>
        <w:rPr>
          <w:rFonts w:asciiTheme="minorHAnsi" w:hAnsiTheme="minorHAnsi"/>
        </w:rPr>
      </w:pPr>
      <w:r w:rsidRPr="004D5A49">
        <w:rPr>
          <w:rFonts w:asciiTheme="minorHAnsi" w:hAnsiTheme="minorHAnsi"/>
        </w:rPr>
        <w:tab/>
        <w:t>Government/Political Science</w:t>
      </w:r>
    </w:p>
    <w:p w14:paraId="2EDFF418" w14:textId="21FC9FDD" w:rsidR="003B3BEE" w:rsidRPr="004D5A49" w:rsidRDefault="003B3BEE" w:rsidP="003B3BEE">
      <w:pPr>
        <w:pStyle w:val="NoSpacing"/>
        <w:rPr>
          <w:rFonts w:asciiTheme="minorHAnsi" w:hAnsiTheme="minorHAnsi"/>
        </w:rPr>
      </w:pPr>
      <w:r w:rsidRPr="004D5A49">
        <w:rPr>
          <w:rFonts w:asciiTheme="minorHAnsi" w:hAnsiTheme="minorHAnsi"/>
        </w:rPr>
        <w:tab/>
        <w:t>Social and Behavioral Sciences</w:t>
      </w:r>
    </w:p>
    <w:p w14:paraId="60A41488" w14:textId="738DB44E" w:rsidR="003B3BEE" w:rsidRPr="004D5A49" w:rsidRDefault="003B3BEE" w:rsidP="003B3BEE">
      <w:pPr>
        <w:pStyle w:val="NoSpacing"/>
        <w:rPr>
          <w:rFonts w:asciiTheme="minorHAnsi" w:hAnsiTheme="minorHAnsi"/>
        </w:rPr>
      </w:pP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19A66E21" w:rsidR="003B3BEE" w:rsidRPr="00B7738B" w:rsidRDefault="00B7738B" w:rsidP="003B3BEE">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3CD7E553" w14:textId="3D1B7506"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616540A4"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20DBAEA6" w:rsidR="003B3BEE" w:rsidRPr="004D5A49" w:rsidRDefault="003B3BEE" w:rsidP="003B3BEE">
      <w:pPr>
        <w:rPr>
          <w:rFonts w:asciiTheme="minorHAnsi" w:hAnsiTheme="minorHAnsi"/>
        </w:rPr>
      </w:pPr>
      <w:r w:rsidRPr="004D5A49">
        <w:rPr>
          <w:rFonts w:asciiTheme="minorHAnsi" w:hAnsiTheme="minorHAnsi"/>
          <w:b/>
        </w:rPr>
        <w:lastRenderedPageBreak/>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26C7D4CC" w:rsidR="003B3BEE" w:rsidRPr="004D5A49" w:rsidRDefault="003B3BEE" w:rsidP="003B3BEE">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sidR="00B7738B">
        <w:rPr>
          <w:rFonts w:asciiTheme="minorHAnsi" w:hAnsiTheme="minorHAnsi"/>
        </w:rPr>
        <w:t xml:space="preserve"> </w:t>
      </w:r>
      <w:r w:rsidRPr="004D5A49">
        <w:rPr>
          <w:rFonts w:asciiTheme="minorHAnsi" w:hAnsiTheme="minorHAnsi"/>
        </w:rPr>
        <w:t xml:space="preserve">(LOCAL)]”.  </w:t>
      </w: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10"/>
  </w:num>
  <w:num w:numId="4">
    <w:abstractNumId w:val="9"/>
  </w:num>
  <w:num w:numId="5">
    <w:abstractNumId w:val="8"/>
  </w:num>
  <w:num w:numId="6">
    <w:abstractNumId w:val="4"/>
  </w:num>
  <w:num w:numId="7">
    <w:abstractNumId w:val="12"/>
  </w:num>
  <w:num w:numId="8">
    <w:abstractNumId w:val="0"/>
  </w:num>
  <w:num w:numId="9">
    <w:abstractNumId w:val="14"/>
  </w:num>
  <w:num w:numId="10">
    <w:abstractNumId w:val="6"/>
  </w:num>
  <w:num w:numId="11">
    <w:abstractNumId w:val="5"/>
  </w:num>
  <w:num w:numId="12">
    <w:abstractNumId w:val="2"/>
  </w:num>
  <w:num w:numId="13">
    <w:abstractNumId w:val="1"/>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7"/>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06D68"/>
    <w:rsid w:val="00125A4A"/>
    <w:rsid w:val="00134C49"/>
    <w:rsid w:val="00135E92"/>
    <w:rsid w:val="00143155"/>
    <w:rsid w:val="0014370C"/>
    <w:rsid w:val="00143F1D"/>
    <w:rsid w:val="0014483A"/>
    <w:rsid w:val="001544EB"/>
    <w:rsid w:val="00157DF0"/>
    <w:rsid w:val="001720B3"/>
    <w:rsid w:val="001747AE"/>
    <w:rsid w:val="0017671E"/>
    <w:rsid w:val="0018526F"/>
    <w:rsid w:val="00187710"/>
    <w:rsid w:val="001968E4"/>
    <w:rsid w:val="001A701A"/>
    <w:rsid w:val="001C5517"/>
    <w:rsid w:val="001C5D79"/>
    <w:rsid w:val="001D3E4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D5539"/>
    <w:rsid w:val="002E0C9B"/>
    <w:rsid w:val="002E40F0"/>
    <w:rsid w:val="002E5359"/>
    <w:rsid w:val="002F0B4C"/>
    <w:rsid w:val="002F2D60"/>
    <w:rsid w:val="002F6595"/>
    <w:rsid w:val="00304189"/>
    <w:rsid w:val="00315AA9"/>
    <w:rsid w:val="0032261A"/>
    <w:rsid w:val="003228FD"/>
    <w:rsid w:val="003269AB"/>
    <w:rsid w:val="00331854"/>
    <w:rsid w:val="00334059"/>
    <w:rsid w:val="00341827"/>
    <w:rsid w:val="003422C1"/>
    <w:rsid w:val="00346482"/>
    <w:rsid w:val="00357B11"/>
    <w:rsid w:val="00360270"/>
    <w:rsid w:val="00364361"/>
    <w:rsid w:val="003673B0"/>
    <w:rsid w:val="00367A59"/>
    <w:rsid w:val="00372663"/>
    <w:rsid w:val="003837DB"/>
    <w:rsid w:val="00385372"/>
    <w:rsid w:val="003864AB"/>
    <w:rsid w:val="00392B84"/>
    <w:rsid w:val="003A7DE6"/>
    <w:rsid w:val="003B1EAE"/>
    <w:rsid w:val="003B3BEE"/>
    <w:rsid w:val="003C0BCF"/>
    <w:rsid w:val="003C5EB1"/>
    <w:rsid w:val="003D0047"/>
    <w:rsid w:val="003F4897"/>
    <w:rsid w:val="003F651D"/>
    <w:rsid w:val="004127E4"/>
    <w:rsid w:val="00417F04"/>
    <w:rsid w:val="00427C39"/>
    <w:rsid w:val="00433376"/>
    <w:rsid w:val="004350C4"/>
    <w:rsid w:val="00445B95"/>
    <w:rsid w:val="00450EB7"/>
    <w:rsid w:val="00454502"/>
    <w:rsid w:val="00455D51"/>
    <w:rsid w:val="00456ACD"/>
    <w:rsid w:val="00463FA8"/>
    <w:rsid w:val="00464AEE"/>
    <w:rsid w:val="0048108B"/>
    <w:rsid w:val="00485B85"/>
    <w:rsid w:val="004A5E21"/>
    <w:rsid w:val="004B02BC"/>
    <w:rsid w:val="004B7E5E"/>
    <w:rsid w:val="004C0957"/>
    <w:rsid w:val="004D0900"/>
    <w:rsid w:val="004D47EF"/>
    <w:rsid w:val="004D74BB"/>
    <w:rsid w:val="004E43D5"/>
    <w:rsid w:val="004F5FBB"/>
    <w:rsid w:val="00504EE0"/>
    <w:rsid w:val="005133C6"/>
    <w:rsid w:val="00537F83"/>
    <w:rsid w:val="00541796"/>
    <w:rsid w:val="00556F7C"/>
    <w:rsid w:val="00560B52"/>
    <w:rsid w:val="00562831"/>
    <w:rsid w:val="00576133"/>
    <w:rsid w:val="0058103C"/>
    <w:rsid w:val="00584C44"/>
    <w:rsid w:val="00590F7A"/>
    <w:rsid w:val="005B0CC3"/>
    <w:rsid w:val="005E0DA7"/>
    <w:rsid w:val="005E3A03"/>
    <w:rsid w:val="005E6A61"/>
    <w:rsid w:val="00600E4D"/>
    <w:rsid w:val="00613744"/>
    <w:rsid w:val="006144B4"/>
    <w:rsid w:val="00621456"/>
    <w:rsid w:val="006217CC"/>
    <w:rsid w:val="00641DF8"/>
    <w:rsid w:val="00645464"/>
    <w:rsid w:val="00657285"/>
    <w:rsid w:val="0066573A"/>
    <w:rsid w:val="00682C8D"/>
    <w:rsid w:val="006875C3"/>
    <w:rsid w:val="006A2EF7"/>
    <w:rsid w:val="006A58D7"/>
    <w:rsid w:val="006B03D8"/>
    <w:rsid w:val="006C0ED0"/>
    <w:rsid w:val="006C6BB6"/>
    <w:rsid w:val="006F567F"/>
    <w:rsid w:val="006F7C54"/>
    <w:rsid w:val="00712B82"/>
    <w:rsid w:val="00721B24"/>
    <w:rsid w:val="007353FC"/>
    <w:rsid w:val="00750047"/>
    <w:rsid w:val="007679E6"/>
    <w:rsid w:val="007912FD"/>
    <w:rsid w:val="00793352"/>
    <w:rsid w:val="007A3B72"/>
    <w:rsid w:val="007C0AEA"/>
    <w:rsid w:val="007C1604"/>
    <w:rsid w:val="007D1F80"/>
    <w:rsid w:val="007D2855"/>
    <w:rsid w:val="007D5179"/>
    <w:rsid w:val="007D5E82"/>
    <w:rsid w:val="007E7782"/>
    <w:rsid w:val="007E79A8"/>
    <w:rsid w:val="008021C1"/>
    <w:rsid w:val="00803DC4"/>
    <w:rsid w:val="008063CB"/>
    <w:rsid w:val="00824D27"/>
    <w:rsid w:val="00844473"/>
    <w:rsid w:val="008445D4"/>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C506E"/>
    <w:rsid w:val="009D0B13"/>
    <w:rsid w:val="009D46F7"/>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2F04"/>
    <w:rsid w:val="00AF3F36"/>
    <w:rsid w:val="00AF74DA"/>
    <w:rsid w:val="00AF7B7B"/>
    <w:rsid w:val="00B10CEC"/>
    <w:rsid w:val="00B144C9"/>
    <w:rsid w:val="00B15A52"/>
    <w:rsid w:val="00B17C01"/>
    <w:rsid w:val="00B17F0F"/>
    <w:rsid w:val="00B21CA8"/>
    <w:rsid w:val="00B21D34"/>
    <w:rsid w:val="00B2502B"/>
    <w:rsid w:val="00B355AF"/>
    <w:rsid w:val="00B37D7E"/>
    <w:rsid w:val="00B43DC5"/>
    <w:rsid w:val="00B441C2"/>
    <w:rsid w:val="00B45765"/>
    <w:rsid w:val="00B643CE"/>
    <w:rsid w:val="00B74E23"/>
    <w:rsid w:val="00B7738B"/>
    <w:rsid w:val="00B90FAE"/>
    <w:rsid w:val="00B91F53"/>
    <w:rsid w:val="00B97206"/>
    <w:rsid w:val="00BA79D5"/>
    <w:rsid w:val="00BB1527"/>
    <w:rsid w:val="00BB1B2D"/>
    <w:rsid w:val="00BC0A34"/>
    <w:rsid w:val="00BD1842"/>
    <w:rsid w:val="00BD517B"/>
    <w:rsid w:val="00BD70F0"/>
    <w:rsid w:val="00BE1711"/>
    <w:rsid w:val="00BE3A18"/>
    <w:rsid w:val="00BE3CED"/>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2584E"/>
    <w:rsid w:val="00D35836"/>
    <w:rsid w:val="00D36ABE"/>
    <w:rsid w:val="00D5204C"/>
    <w:rsid w:val="00D54629"/>
    <w:rsid w:val="00D629DE"/>
    <w:rsid w:val="00D62D2C"/>
    <w:rsid w:val="00D82E3B"/>
    <w:rsid w:val="00D908B0"/>
    <w:rsid w:val="00DA10CC"/>
    <w:rsid w:val="00DA1195"/>
    <w:rsid w:val="00DA5C98"/>
    <w:rsid w:val="00DB4B5D"/>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09">
      <w:bodyDiv w:val="1"/>
      <w:marLeft w:val="0"/>
      <w:marRight w:val="0"/>
      <w:marTop w:val="0"/>
      <w:marBottom w:val="0"/>
      <w:divBdr>
        <w:top w:val="none" w:sz="0" w:space="0" w:color="auto"/>
        <w:left w:val="none" w:sz="0" w:space="0" w:color="auto"/>
        <w:bottom w:val="none" w:sz="0" w:space="0" w:color="auto"/>
        <w:right w:val="none" w:sz="0" w:space="0" w:color="auto"/>
      </w:divBdr>
    </w:div>
    <w:div w:id="65347288">
      <w:bodyDiv w:val="1"/>
      <w:marLeft w:val="0"/>
      <w:marRight w:val="0"/>
      <w:marTop w:val="0"/>
      <w:marBottom w:val="0"/>
      <w:divBdr>
        <w:top w:val="none" w:sz="0" w:space="0" w:color="auto"/>
        <w:left w:val="none" w:sz="0" w:space="0" w:color="auto"/>
        <w:bottom w:val="none" w:sz="0" w:space="0" w:color="auto"/>
        <w:right w:val="none" w:sz="0" w:space="0" w:color="auto"/>
      </w:divBdr>
    </w:div>
    <w:div w:id="409665802">
      <w:bodyDiv w:val="1"/>
      <w:marLeft w:val="0"/>
      <w:marRight w:val="0"/>
      <w:marTop w:val="0"/>
      <w:marBottom w:val="0"/>
      <w:divBdr>
        <w:top w:val="none" w:sz="0" w:space="0" w:color="auto"/>
        <w:left w:val="none" w:sz="0" w:space="0" w:color="auto"/>
        <w:bottom w:val="none" w:sz="0" w:space="0" w:color="auto"/>
        <w:right w:val="none" w:sz="0" w:space="0" w:color="auto"/>
      </w:divBdr>
    </w:div>
    <w:div w:id="61120966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0397151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1386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king\Desktop\COVID-19Docs\ccove@nctc.edu" TargetMode="External"/><Relationship Id="rId13" Type="http://schemas.openxmlformats.org/officeDocument/2006/relationships/hyperlink" Target="https://studentlingo.thoughtindustries.com/nctc/tye5arkyzk5k3wt4" TargetMode="External"/><Relationship Id="rId18" Type="http://schemas.openxmlformats.org/officeDocument/2006/relationships/hyperlink" Target="https://www.nctc.edu/counseling-advising/community-resourc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tc.edu/financial-aid/index.html" TargetMode="External"/><Relationship Id="rId7" Type="http://schemas.openxmlformats.org/officeDocument/2006/relationships/endnotes" Target="endnotes.xml"/><Relationship Id="rId12" Type="http://schemas.openxmlformats.org/officeDocument/2006/relationships/hyperlink" Target="http://www.nctc.edu/student-services/completion-center/index.html" TargetMode="External"/><Relationship Id="rId17" Type="http://schemas.openxmlformats.org/officeDocument/2006/relationships/hyperlink" Target="http://www.nctc.edu/cares-team/index.html" TargetMode="External"/><Relationship Id="rId25"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www.nctc.edu/counseling-advising/index.html" TargetMode="External"/><Relationship Id="rId20" Type="http://schemas.openxmlformats.org/officeDocument/2006/relationships/hyperlink" Target="http://www.nctc.edu/equity-diversity-inclusion-divis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tc.edu/career-services/index.html" TargetMode="External"/><Relationship Id="rId24" Type="http://schemas.openxmlformats.org/officeDocument/2006/relationships/hyperlink" Target="http://www.nctc.edu/student-services/trio-student-support-services/index.html" TargetMode="External"/><Relationship Id="rId5" Type="http://schemas.openxmlformats.org/officeDocument/2006/relationships/webSettings" Target="webSettings.xml"/><Relationship Id="rId15" Type="http://schemas.openxmlformats.org/officeDocument/2006/relationships/hyperlink" Target="https://www.nctc.edu/cares-team/index.html" TargetMode="External"/><Relationship Id="rId23" Type="http://schemas.openxmlformats.org/officeDocument/2006/relationships/hyperlink" Target="http://www.nctc.edu/student-services/student-success/tutoring/index.html" TargetMode="External"/><Relationship Id="rId10" Type="http://schemas.openxmlformats.org/officeDocument/2006/relationships/hyperlink" Target="http://www.nctc.edu/affinity-groups/index.html" TargetMode="External"/><Relationship Id="rId19" Type="http://schemas.openxmlformats.org/officeDocument/2006/relationships/hyperlink" Target="mailto:counseling@nctc.edu" TargetMode="External"/><Relationship Id="rId4" Type="http://schemas.openxmlformats.org/officeDocument/2006/relationships/settings" Target="settings.xml"/><Relationship Id="rId9" Type="http://schemas.openxmlformats.org/officeDocument/2006/relationships/hyperlink" Target="http://www.nctc.edu/coronavirus/index.html" TargetMode="External"/><Relationship Id="rId14" Type="http://schemas.openxmlformats.org/officeDocument/2006/relationships/hyperlink" Target="http://www.nctc.edu/counseling-advising/index.html" TargetMode="External"/><Relationship Id="rId22" Type="http://schemas.openxmlformats.org/officeDocument/2006/relationships/hyperlink" Target="http://www.nctc.edu/external-affairs/scholarship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D2A4-C640-4DCA-89D0-B44E96C9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19268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14</cp:revision>
  <cp:lastPrinted>2020-11-05T02:11:00Z</cp:lastPrinted>
  <dcterms:created xsi:type="dcterms:W3CDTF">2020-07-01T23:44:00Z</dcterms:created>
  <dcterms:modified xsi:type="dcterms:W3CDTF">2021-01-13T17:32:00Z</dcterms:modified>
</cp:coreProperties>
</file>